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29" w:rsidRPr="00196EE0" w:rsidRDefault="00DB3771" w:rsidP="00BB3429">
      <w:pPr>
        <w:pStyle w:val="Title1"/>
        <w:spacing w:before="0" w:after="0"/>
        <w:rPr>
          <w:sz w:val="24"/>
          <w:lang w:val="es-MX"/>
        </w:rPr>
      </w:pPr>
      <w:r w:rsidRPr="00196EE0">
        <w:rPr>
          <w:lang w:val="es-MX"/>
        </w:rPr>
        <w:t xml:space="preserve">Efectividad de OWASP Para Proteger </w:t>
      </w:r>
      <w:proofErr w:type="spellStart"/>
      <w:r w:rsidRPr="00196EE0">
        <w:rPr>
          <w:lang w:val="es-MX"/>
        </w:rPr>
        <w:t>Applicaciones</w:t>
      </w:r>
      <w:proofErr w:type="spellEnd"/>
      <w:r w:rsidRPr="00196EE0">
        <w:rPr>
          <w:lang w:val="es-MX"/>
        </w:rPr>
        <w:t xml:space="preserve"> Web</w:t>
      </w:r>
      <w:r w:rsidR="00EE1D99">
        <w:rPr>
          <w:lang w:val="es-MX"/>
        </w:rPr>
        <w:t xml:space="preserve"> Contra Inyección de SQL</w:t>
      </w:r>
      <w:r w:rsidR="00BB3429" w:rsidRPr="00196EE0">
        <w:rPr>
          <w:sz w:val="32"/>
          <w:lang w:val="es-MX"/>
        </w:rPr>
        <w:br/>
      </w:r>
    </w:p>
    <w:p w:rsidR="00BB3429" w:rsidRPr="001C17B2" w:rsidRDefault="003522F4" w:rsidP="00BB3429">
      <w:pPr>
        <w:pStyle w:val="author"/>
        <w:rPr>
          <w:sz w:val="22"/>
        </w:rPr>
      </w:pPr>
      <w:r>
        <w:rPr>
          <w:sz w:val="22"/>
        </w:rPr>
        <w:t>Manuel Lopez Arredondo</w:t>
      </w:r>
    </w:p>
    <w:p w:rsidR="00BB3429" w:rsidRPr="00F2099D" w:rsidRDefault="00E82669" w:rsidP="00BB3429">
      <w:pPr>
        <w:pStyle w:val="author"/>
        <w:rPr>
          <w:i/>
          <w:sz w:val="20"/>
        </w:rPr>
      </w:pPr>
      <w:r>
        <w:rPr>
          <w:i/>
          <w:sz w:val="20"/>
        </w:rPr>
        <w:t>OWASP Guadalajara</w:t>
      </w:r>
    </w:p>
    <w:p w:rsidR="00BB3429" w:rsidRPr="00477928" w:rsidRDefault="00295E35" w:rsidP="00BB3429">
      <w:pPr>
        <w:pStyle w:val="author"/>
        <w:rPr>
          <w:rFonts w:ascii="Courier New" w:hAnsi="Courier New" w:cs="Courier New"/>
          <w:sz w:val="18"/>
          <w:lang w:val="es-MX"/>
        </w:rPr>
      </w:pPr>
      <w:r w:rsidRPr="00477928">
        <w:rPr>
          <w:rFonts w:ascii="Courier New" w:hAnsi="Courier New" w:cs="Courier New"/>
          <w:sz w:val="18"/>
          <w:lang w:val="es-MX"/>
        </w:rPr>
        <w:t>m</w:t>
      </w:r>
      <w:r w:rsidR="00E82669" w:rsidRPr="00477928">
        <w:rPr>
          <w:rFonts w:ascii="Courier New" w:hAnsi="Courier New" w:cs="Courier New"/>
          <w:sz w:val="18"/>
          <w:lang w:val="es-MX"/>
        </w:rPr>
        <w:t>anuel.lopez@owasp.org</w:t>
      </w:r>
    </w:p>
    <w:p w:rsidR="00F475AB" w:rsidRPr="00477928" w:rsidRDefault="00F475AB">
      <w:pPr>
        <w:pStyle w:val="author"/>
        <w:rPr>
          <w:lang w:val="es-MX"/>
        </w:rPr>
      </w:pPr>
    </w:p>
    <w:p w:rsidR="00F475AB" w:rsidRPr="00196EE0" w:rsidRDefault="00B54112" w:rsidP="00B54112">
      <w:pPr>
        <w:spacing w:before="120" w:after="0"/>
        <w:rPr>
          <w:lang w:val="es-MX"/>
        </w:rPr>
      </w:pPr>
      <w:proofErr w:type="spellStart"/>
      <w:r w:rsidRPr="00196EE0">
        <w:rPr>
          <w:b/>
          <w:sz w:val="24"/>
          <w:lang w:val="es-MX"/>
        </w:rPr>
        <w:t>Keywords</w:t>
      </w:r>
      <w:proofErr w:type="spellEnd"/>
      <w:r w:rsidR="00F475AB" w:rsidRPr="00196EE0">
        <w:rPr>
          <w:lang w:val="es-MX"/>
        </w:rPr>
        <w:t xml:space="preserve">: </w:t>
      </w:r>
      <w:r w:rsidR="00196EE0" w:rsidRPr="00196EE0">
        <w:rPr>
          <w:lang w:val="es-MX"/>
        </w:rPr>
        <w:t>vulnerabilidades</w:t>
      </w:r>
      <w:r w:rsidR="00F475AB" w:rsidRPr="00196EE0">
        <w:rPr>
          <w:lang w:val="es-MX"/>
        </w:rPr>
        <w:t xml:space="preserve">, </w:t>
      </w:r>
      <w:r w:rsidR="00196EE0" w:rsidRPr="00196EE0">
        <w:rPr>
          <w:lang w:val="es-MX"/>
        </w:rPr>
        <w:t>aplicaciones web</w:t>
      </w:r>
      <w:r w:rsidR="00F475AB" w:rsidRPr="00196EE0">
        <w:rPr>
          <w:lang w:val="es-MX"/>
        </w:rPr>
        <w:t xml:space="preserve">, </w:t>
      </w:r>
      <w:r w:rsidR="00196EE0" w:rsidRPr="00196EE0">
        <w:rPr>
          <w:lang w:val="es-MX"/>
        </w:rPr>
        <w:t>seguridad</w:t>
      </w:r>
      <w:r w:rsidR="00F475AB" w:rsidRPr="00196EE0">
        <w:rPr>
          <w:lang w:val="es-MX"/>
        </w:rPr>
        <w:t xml:space="preserve">, </w:t>
      </w:r>
      <w:r w:rsidR="00196EE0">
        <w:rPr>
          <w:lang w:val="es-MX"/>
        </w:rPr>
        <w:t>inyección SQL</w:t>
      </w:r>
      <w:r w:rsidR="00F475AB" w:rsidRPr="00196EE0">
        <w:rPr>
          <w:lang w:val="es-MX"/>
        </w:rPr>
        <w:t xml:space="preserve">, </w:t>
      </w:r>
      <w:r w:rsidR="003522F4" w:rsidRPr="00196EE0">
        <w:rPr>
          <w:lang w:val="es-MX"/>
        </w:rPr>
        <w:t>OWASP</w:t>
      </w:r>
    </w:p>
    <w:p w:rsidR="00F475AB" w:rsidRPr="00196EE0" w:rsidRDefault="00F475AB">
      <w:pPr>
        <w:jc w:val="center"/>
        <w:rPr>
          <w:sz w:val="24"/>
          <w:lang w:val="es-MX"/>
        </w:rPr>
      </w:pPr>
    </w:p>
    <w:p w:rsidR="00F475AB" w:rsidRPr="00196EE0" w:rsidRDefault="00F475AB">
      <w:pPr>
        <w:pStyle w:val="Heading1"/>
        <w:spacing w:after="0"/>
        <w:ind w:left="-288" w:right="-288"/>
        <w:rPr>
          <w:lang w:val="es-MX"/>
        </w:rPr>
        <w:sectPr w:rsidR="00F475AB" w:rsidRPr="00196EE0" w:rsidSect="003B1448">
          <w:headerReference w:type="first" r:id="rId9"/>
          <w:type w:val="continuous"/>
          <w:pgSz w:w="12240" w:h="15840"/>
          <w:pgMar w:top="1080" w:right="806" w:bottom="1080" w:left="806" w:header="720" w:footer="720" w:gutter="0"/>
          <w:cols w:space="288"/>
          <w:titlePg/>
        </w:sectPr>
      </w:pPr>
    </w:p>
    <w:p w:rsidR="00F475AB" w:rsidRPr="00E82669" w:rsidRDefault="00EF5077" w:rsidP="001318D3">
      <w:pPr>
        <w:pStyle w:val="Heading1"/>
      </w:pPr>
      <w:r w:rsidRPr="00E82669">
        <w:lastRenderedPageBreak/>
        <w:t>ABSTRACT</w:t>
      </w:r>
    </w:p>
    <w:p w:rsidR="00D317E3" w:rsidRPr="00D317E3" w:rsidRDefault="00D317E3" w:rsidP="00D317E3">
      <w:pPr>
        <w:pStyle w:val="Heading1"/>
        <w:rPr>
          <w:b w:val="0"/>
          <w:sz w:val="20"/>
          <w:lang w:val="es-MX"/>
        </w:rPr>
      </w:pPr>
      <w:r w:rsidRPr="00D317E3">
        <w:rPr>
          <w:b w:val="0"/>
          <w:sz w:val="20"/>
          <w:lang w:val="es-MX"/>
        </w:rPr>
        <w:t xml:space="preserve">El presente documento muestra un estudio del nivel de riesgo al que se encuentran expuestas todo tipo de instituciones, empresas privadas y gobiernos por medio de sus aplicaciones web, ya sea sitios internos (intranet) o externos (internet),  mediante la explotación de las vulnerabilidades de inyección de SQL, así como del nivel de efectividad de las técnicas de OWASP (Open Web </w:t>
      </w:r>
      <w:proofErr w:type="spellStart"/>
      <w:r w:rsidRPr="00D317E3">
        <w:rPr>
          <w:b w:val="0"/>
          <w:sz w:val="20"/>
          <w:lang w:val="es-MX"/>
        </w:rPr>
        <w:t>Application</w:t>
      </w:r>
      <w:proofErr w:type="spellEnd"/>
      <w:r w:rsidRPr="00D317E3">
        <w:rPr>
          <w:b w:val="0"/>
          <w:sz w:val="20"/>
          <w:lang w:val="es-MX"/>
        </w:rPr>
        <w:t xml:space="preserve"> Security Project) para mitigar ésas vulnerabilidades. </w:t>
      </w:r>
    </w:p>
    <w:p w:rsidR="00F475AB" w:rsidRPr="00D317E3" w:rsidRDefault="00D317E3" w:rsidP="00D317E3">
      <w:pPr>
        <w:rPr>
          <w:lang w:val="es-MX"/>
        </w:rPr>
      </w:pPr>
      <w:r w:rsidRPr="00D317E3">
        <w:rPr>
          <w:lang w:val="es-MX"/>
        </w:rPr>
        <w:t xml:space="preserve">Por medio de la ejecución de pruebas de penetración enfocadas a explotar las vulnerabilidades mencionadas, y con base a una evaluación de las prácticas de desarrollo seguro de software de la organización objetivo, tendremos un panorama inicial del estado de la seguridad de la aplicación, y obtendremos el nivel de madurez de las prácticas de desarrollo de software seguro de la organización; para después, implementar  las técnicas de OWASP, realizar </w:t>
      </w:r>
      <w:r>
        <w:rPr>
          <w:lang w:val="es-MX"/>
        </w:rPr>
        <w:t>las mismas evaluaciones</w:t>
      </w:r>
      <w:r w:rsidRPr="00D317E3">
        <w:rPr>
          <w:lang w:val="es-MX"/>
        </w:rPr>
        <w:t>, e identificar si éstas técnicas son efectivas mediante la comparación de resultados</w:t>
      </w:r>
      <w:r>
        <w:rPr>
          <w:lang w:val="es-MX"/>
        </w:rPr>
        <w:t xml:space="preserve"> obtenidos</w:t>
      </w:r>
      <w:r w:rsidRPr="00D317E3">
        <w:rPr>
          <w:lang w:val="es-MX"/>
        </w:rPr>
        <w:t>. Lo anterior con la finalidad de ayudar a los profesionales de Seguridad de la Información, Desarrolladores de Software</w:t>
      </w:r>
      <w:r>
        <w:rPr>
          <w:lang w:val="es-MX"/>
        </w:rPr>
        <w:t>,</w:t>
      </w:r>
      <w:r w:rsidRPr="00D317E3">
        <w:rPr>
          <w:lang w:val="es-MX"/>
        </w:rPr>
        <w:t xml:space="preserve"> y Organizaciones en general, a tomar decisiones más informadas para mitigar riesgos de integridad y confidencialidad de la información en aplicaciones web.</w:t>
      </w:r>
    </w:p>
    <w:p w:rsidR="00F475AB" w:rsidRDefault="00295E35" w:rsidP="000D4A2F">
      <w:pPr>
        <w:pStyle w:val="Heading1"/>
        <w:numPr>
          <w:ilvl w:val="0"/>
          <w:numId w:val="4"/>
        </w:numPr>
        <w:spacing w:before="240"/>
      </w:pPr>
      <w:r>
        <w:t>INTRODUCCIÓ</w:t>
      </w:r>
      <w:r w:rsidR="00EF5077">
        <w:t>N</w:t>
      </w:r>
    </w:p>
    <w:p w:rsidR="005343BA" w:rsidRPr="005343BA" w:rsidRDefault="005343BA" w:rsidP="005343BA">
      <w:pPr>
        <w:rPr>
          <w:rStyle w:val="Heading1Char"/>
          <w:b w:val="0"/>
          <w:sz w:val="20"/>
          <w:lang w:val="es-MX"/>
        </w:rPr>
      </w:pPr>
      <w:r w:rsidRPr="005343BA">
        <w:rPr>
          <w:rStyle w:val="Heading1Char"/>
          <w:b w:val="0"/>
          <w:sz w:val="20"/>
          <w:lang w:val="es-MX"/>
        </w:rPr>
        <w:t xml:space="preserve">En un estudio del SANS </w:t>
      </w:r>
      <w:proofErr w:type="spellStart"/>
      <w:r w:rsidRPr="005343BA">
        <w:rPr>
          <w:rStyle w:val="Heading1Char"/>
          <w:b w:val="0"/>
          <w:sz w:val="20"/>
          <w:lang w:val="es-MX"/>
        </w:rPr>
        <w:t>Institute</w:t>
      </w:r>
      <w:proofErr w:type="spellEnd"/>
      <w:r w:rsidRPr="005343BA">
        <w:rPr>
          <w:rStyle w:val="Heading1Char"/>
          <w:b w:val="0"/>
          <w:sz w:val="20"/>
          <w:lang w:val="es-MX"/>
        </w:rPr>
        <w:t xml:space="preserve"> se menciona que el 60% de los ataques en Internet se hacen contra aplicaciones Web</w:t>
      </w:r>
      <w:r w:rsidR="00436EBD">
        <w:rPr>
          <w:rStyle w:val="Heading1Char"/>
          <w:b w:val="0"/>
          <w:sz w:val="20"/>
          <w:lang w:val="es-MX"/>
        </w:rPr>
        <w:t xml:space="preserve"> </w:t>
      </w:r>
      <w:sdt>
        <w:sdtPr>
          <w:rPr>
            <w:rStyle w:val="Heading1Char"/>
            <w:b w:val="0"/>
            <w:sz w:val="20"/>
            <w:lang w:val="es-MX"/>
          </w:rPr>
          <w:id w:val="1284777856"/>
          <w:citation/>
        </w:sdtPr>
        <w:sdtContent>
          <w:r w:rsidR="00436EBD">
            <w:rPr>
              <w:rStyle w:val="Heading1Char"/>
              <w:b w:val="0"/>
              <w:sz w:val="20"/>
              <w:lang w:val="es-MX"/>
            </w:rPr>
            <w:fldChar w:fldCharType="begin"/>
          </w:r>
          <w:r w:rsidR="00436EBD">
            <w:rPr>
              <w:rStyle w:val="Heading1Char"/>
              <w:b w:val="0"/>
              <w:sz w:val="20"/>
              <w:lang w:val="es-MX"/>
            </w:rPr>
            <w:instrText xml:space="preserve"> CITATION Sch12 \l 2058 </w:instrText>
          </w:r>
          <w:r w:rsidR="00436EBD">
            <w:rPr>
              <w:rStyle w:val="Heading1Char"/>
              <w:b w:val="0"/>
              <w:sz w:val="20"/>
              <w:lang w:val="es-MX"/>
            </w:rPr>
            <w:fldChar w:fldCharType="separate"/>
          </w:r>
          <w:r w:rsidR="00436EBD">
            <w:rPr>
              <w:noProof/>
              <w:lang w:val="es-MX"/>
            </w:rPr>
            <w:t>(Scholt, Balzarotti, &amp; Kirda, 2012)</w:t>
          </w:r>
          <w:r w:rsidR="00436EBD">
            <w:rPr>
              <w:rStyle w:val="Heading1Char"/>
              <w:b w:val="0"/>
              <w:sz w:val="20"/>
              <w:lang w:val="es-MX"/>
            </w:rPr>
            <w:fldChar w:fldCharType="end"/>
          </w:r>
        </w:sdtContent>
      </w:sdt>
      <w:r w:rsidRPr="005343BA">
        <w:rPr>
          <w:rStyle w:val="Heading1Char"/>
          <w:b w:val="0"/>
          <w:sz w:val="20"/>
          <w:lang w:val="es-MX"/>
        </w:rPr>
        <w:t>; en consecuencia, cualquier organización está expuesta al robo de datos e incluso a problemas de integridad de los mismos, llevando a la organización a enfrentar riesgos regulatorios, de reputación y legales. En el caso de México, un ejemplo de un riesgo legal es el no cumplimiento de la Ley Federal de Protección de Datos en Posesión de Particulares (LFPDPPP), que describe como motivo de incumpliendo con la regulación, el hecho de “Vulnerar la seguridad de bases de datos, locales, programas o equipos, cuando resulte imputable al responsable”; las sanciones van desde 100 hasta 320,000 días de salario mínimo</w:t>
      </w:r>
      <w:r w:rsidR="00436EBD">
        <w:rPr>
          <w:rStyle w:val="Heading1Char"/>
          <w:b w:val="0"/>
          <w:sz w:val="20"/>
          <w:lang w:val="es-MX"/>
        </w:rPr>
        <w:t xml:space="preserve"> </w:t>
      </w:r>
      <w:sdt>
        <w:sdtPr>
          <w:rPr>
            <w:rStyle w:val="Heading1Char"/>
            <w:b w:val="0"/>
            <w:sz w:val="20"/>
            <w:lang w:val="es-MX"/>
          </w:rPr>
          <w:id w:val="1133898903"/>
          <w:citation/>
        </w:sdtPr>
        <w:sdtContent>
          <w:r w:rsidR="00436EBD">
            <w:rPr>
              <w:rStyle w:val="Heading1Char"/>
              <w:b w:val="0"/>
              <w:sz w:val="20"/>
              <w:lang w:val="es-MX"/>
            </w:rPr>
            <w:fldChar w:fldCharType="begin"/>
          </w:r>
          <w:r w:rsidR="00436EBD">
            <w:rPr>
              <w:rStyle w:val="Heading1Char"/>
              <w:b w:val="0"/>
              <w:sz w:val="20"/>
              <w:lang w:val="es-MX"/>
            </w:rPr>
            <w:instrText xml:space="preserve"> CITATION Dia10 \l 2058 </w:instrText>
          </w:r>
          <w:r w:rsidR="00436EBD">
            <w:rPr>
              <w:rStyle w:val="Heading1Char"/>
              <w:b w:val="0"/>
              <w:sz w:val="20"/>
              <w:lang w:val="es-MX"/>
            </w:rPr>
            <w:fldChar w:fldCharType="separate"/>
          </w:r>
          <w:r w:rsidR="00436EBD">
            <w:rPr>
              <w:noProof/>
              <w:lang w:val="es-MX"/>
            </w:rPr>
            <w:t>(Diario Oficial de la Federación, 2010)</w:t>
          </w:r>
          <w:r w:rsidR="00436EBD">
            <w:rPr>
              <w:rStyle w:val="Heading1Char"/>
              <w:b w:val="0"/>
              <w:sz w:val="20"/>
              <w:lang w:val="es-MX"/>
            </w:rPr>
            <w:fldChar w:fldCharType="end"/>
          </w:r>
        </w:sdtContent>
      </w:sdt>
      <w:r w:rsidRPr="005343BA">
        <w:rPr>
          <w:rStyle w:val="Heading1Char"/>
          <w:b w:val="0"/>
          <w:sz w:val="20"/>
          <w:lang w:val="es-MX"/>
        </w:rPr>
        <w:t xml:space="preserve">. </w:t>
      </w:r>
    </w:p>
    <w:p w:rsidR="005343BA" w:rsidRPr="005343BA" w:rsidRDefault="005343BA" w:rsidP="005343BA">
      <w:pPr>
        <w:rPr>
          <w:rStyle w:val="Heading1Char"/>
          <w:b w:val="0"/>
          <w:sz w:val="20"/>
          <w:lang w:val="es-MX"/>
        </w:rPr>
      </w:pPr>
      <w:r w:rsidRPr="005343BA">
        <w:rPr>
          <w:rStyle w:val="Heading1Char"/>
          <w:b w:val="0"/>
          <w:sz w:val="20"/>
          <w:lang w:val="es-MX"/>
        </w:rPr>
        <w:lastRenderedPageBreak/>
        <w:t xml:space="preserve">Los ataques de Inyección de SQL son realizados al enviar código malicioso sobre aquellos campos que se encuentran a la vista del usuario; vía la sintaxis del código enviado, se puede explotar al intérprete de base datos. Por ejemplo, existen combinaciones de caracteres que pueden tener un significado especial para el </w:t>
      </w:r>
      <w:r w:rsidR="00436EBD">
        <w:rPr>
          <w:rStyle w:val="Heading1Char"/>
          <w:b w:val="0"/>
          <w:sz w:val="20"/>
          <w:lang w:val="es-MX"/>
        </w:rPr>
        <w:t xml:space="preserve">manejador de la base de datos </w:t>
      </w:r>
      <w:r w:rsidRPr="005343BA">
        <w:rPr>
          <w:rStyle w:val="Heading1Char"/>
          <w:b w:val="0"/>
          <w:sz w:val="20"/>
          <w:lang w:val="es-MX"/>
        </w:rPr>
        <w:t>ya que estos caracteres son parte del lenguaje del manejador de base de datos. Los siguientes caracteres son un ejemplo de estos caracteres especiales:</w:t>
      </w:r>
    </w:p>
    <w:p w:rsidR="005343BA" w:rsidRPr="00436EBD" w:rsidRDefault="005343BA" w:rsidP="00436EBD">
      <w:pPr>
        <w:pStyle w:val="ListParagraph"/>
        <w:numPr>
          <w:ilvl w:val="0"/>
          <w:numId w:val="6"/>
        </w:numPr>
        <w:rPr>
          <w:rStyle w:val="Heading1Char"/>
          <w:b w:val="0"/>
          <w:sz w:val="20"/>
          <w:lang w:val="es-MX"/>
        </w:rPr>
      </w:pPr>
      <w:r w:rsidRPr="00436EBD">
        <w:rPr>
          <w:rStyle w:val="Heading1Char"/>
          <w:b w:val="0"/>
          <w:sz w:val="20"/>
          <w:lang w:val="es-MX"/>
        </w:rPr>
        <w:t>‘ o “ (caracteres que indican cadenas de texto)</w:t>
      </w:r>
    </w:p>
    <w:p w:rsidR="005343BA" w:rsidRPr="00436EBD" w:rsidRDefault="005343BA" w:rsidP="00436EBD">
      <w:pPr>
        <w:pStyle w:val="ListParagraph"/>
        <w:numPr>
          <w:ilvl w:val="0"/>
          <w:numId w:val="6"/>
        </w:numPr>
        <w:rPr>
          <w:rStyle w:val="Heading1Char"/>
          <w:b w:val="0"/>
          <w:sz w:val="20"/>
          <w:lang w:val="es-MX"/>
        </w:rPr>
      </w:pPr>
      <w:r w:rsidRPr="00436EBD">
        <w:rPr>
          <w:rStyle w:val="Heading1Char"/>
          <w:b w:val="0"/>
          <w:sz w:val="20"/>
          <w:lang w:val="es-MX"/>
        </w:rPr>
        <w:t># (línea simple comentada)</w:t>
      </w:r>
    </w:p>
    <w:p w:rsidR="005343BA" w:rsidRPr="00436EBD" w:rsidRDefault="005343BA" w:rsidP="00436EBD">
      <w:pPr>
        <w:pStyle w:val="ListParagraph"/>
        <w:numPr>
          <w:ilvl w:val="0"/>
          <w:numId w:val="6"/>
        </w:numPr>
        <w:rPr>
          <w:rStyle w:val="Heading1Char"/>
          <w:b w:val="0"/>
          <w:sz w:val="20"/>
          <w:lang w:val="es-MX"/>
        </w:rPr>
      </w:pPr>
      <w:r w:rsidRPr="00436EBD">
        <w:rPr>
          <w:rStyle w:val="Heading1Char"/>
          <w:b w:val="0"/>
          <w:sz w:val="20"/>
          <w:lang w:val="es-MX"/>
        </w:rPr>
        <w:t>/* … */ (varias líneas comentadas)</w:t>
      </w:r>
    </w:p>
    <w:p w:rsidR="005343BA" w:rsidRPr="00436EBD" w:rsidRDefault="005343BA" w:rsidP="00436EBD">
      <w:pPr>
        <w:pStyle w:val="ListParagraph"/>
        <w:numPr>
          <w:ilvl w:val="0"/>
          <w:numId w:val="6"/>
        </w:numPr>
        <w:rPr>
          <w:rStyle w:val="Heading1Char"/>
          <w:b w:val="0"/>
          <w:sz w:val="20"/>
          <w:lang w:val="es-MX"/>
        </w:rPr>
      </w:pPr>
      <w:r w:rsidRPr="00436EBD">
        <w:rPr>
          <w:rStyle w:val="Heading1Char"/>
          <w:b w:val="0"/>
          <w:sz w:val="20"/>
          <w:lang w:val="es-MX"/>
        </w:rPr>
        <w:t xml:space="preserve">+ (suma o </w:t>
      </w:r>
      <w:proofErr w:type="spellStart"/>
      <w:r w:rsidRPr="00436EBD">
        <w:rPr>
          <w:rStyle w:val="Heading1Char"/>
          <w:b w:val="0"/>
          <w:sz w:val="20"/>
          <w:lang w:val="es-MX"/>
        </w:rPr>
        <w:t>concatencación</w:t>
      </w:r>
      <w:proofErr w:type="spellEnd"/>
      <w:r w:rsidRPr="00436EBD">
        <w:rPr>
          <w:rStyle w:val="Heading1Char"/>
          <w:b w:val="0"/>
          <w:sz w:val="20"/>
          <w:lang w:val="es-MX"/>
        </w:rPr>
        <w:t>)</w:t>
      </w:r>
    </w:p>
    <w:p w:rsidR="005343BA" w:rsidRPr="00436EBD" w:rsidRDefault="005343BA" w:rsidP="00436EBD">
      <w:pPr>
        <w:pStyle w:val="ListParagraph"/>
        <w:numPr>
          <w:ilvl w:val="0"/>
          <w:numId w:val="6"/>
        </w:numPr>
        <w:rPr>
          <w:rStyle w:val="Heading1Char"/>
          <w:b w:val="0"/>
          <w:sz w:val="20"/>
          <w:lang w:val="es-MX"/>
        </w:rPr>
      </w:pPr>
      <w:r w:rsidRPr="00436EBD">
        <w:rPr>
          <w:rStyle w:val="Heading1Char"/>
          <w:b w:val="0"/>
          <w:sz w:val="20"/>
          <w:lang w:val="es-MX"/>
        </w:rPr>
        <w:t>% (indicador para varios caracteres)</w:t>
      </w:r>
    </w:p>
    <w:p w:rsidR="005343BA" w:rsidRPr="005343BA" w:rsidRDefault="005343BA" w:rsidP="005343BA">
      <w:pPr>
        <w:rPr>
          <w:rStyle w:val="Heading1Char"/>
          <w:b w:val="0"/>
          <w:sz w:val="20"/>
          <w:lang w:val="es-MX"/>
        </w:rPr>
      </w:pPr>
      <w:r w:rsidRPr="005343BA">
        <w:rPr>
          <w:rStyle w:val="Heading1Char"/>
          <w:b w:val="0"/>
          <w:sz w:val="20"/>
          <w:lang w:val="es-MX"/>
        </w:rPr>
        <w:t>Al enviar a la aplicación una combinación de los caracteres arriba mostrados, un atacante puede tener acceso para consultar o manipular la información, al enviar comandos de SQL.</w:t>
      </w:r>
    </w:p>
    <w:p w:rsidR="005343BA" w:rsidRPr="005343BA" w:rsidRDefault="005343BA" w:rsidP="005343BA">
      <w:pPr>
        <w:rPr>
          <w:rStyle w:val="Heading1Char"/>
          <w:b w:val="0"/>
          <w:sz w:val="20"/>
          <w:lang w:val="es-MX"/>
        </w:rPr>
      </w:pPr>
      <w:r w:rsidRPr="005343BA">
        <w:rPr>
          <w:rStyle w:val="Heading1Char"/>
          <w:b w:val="0"/>
          <w:sz w:val="20"/>
          <w:lang w:val="es-MX"/>
        </w:rPr>
        <w:t xml:space="preserve">El Proyecto Abierto de Seguridad en Aplicaciones Web (OWASP por sus siglas en inglés) provee algunas soluciones para fortalecer la seguridad en aplicaciones web y mitigar el riesgo de que la inyección de SQL sea encontrada y explotada. </w:t>
      </w:r>
    </w:p>
    <w:p w:rsidR="005343BA" w:rsidRPr="005343BA" w:rsidRDefault="005343BA" w:rsidP="005343BA">
      <w:pPr>
        <w:rPr>
          <w:rStyle w:val="Heading1Char"/>
          <w:b w:val="0"/>
          <w:sz w:val="20"/>
          <w:lang w:val="es-MX"/>
        </w:rPr>
      </w:pPr>
      <w:r w:rsidRPr="005343BA">
        <w:rPr>
          <w:rStyle w:val="Heading1Char"/>
          <w:b w:val="0"/>
          <w:sz w:val="20"/>
          <w:lang w:val="es-MX"/>
        </w:rPr>
        <w:t>El propósito de éste estudio de caso es trabajar en la implementación de las técnicas OWASP en organizaciones mexicanas realizando las siguientes tareas:</w:t>
      </w:r>
    </w:p>
    <w:p w:rsidR="005343BA" w:rsidRPr="005343BA" w:rsidRDefault="005343BA" w:rsidP="005343BA">
      <w:pPr>
        <w:rPr>
          <w:rStyle w:val="Heading1Char"/>
          <w:b w:val="0"/>
          <w:sz w:val="20"/>
          <w:lang w:val="es-MX"/>
        </w:rPr>
      </w:pPr>
      <w:r w:rsidRPr="005343BA">
        <w:rPr>
          <w:rStyle w:val="Heading1Char"/>
          <w:b w:val="0"/>
          <w:sz w:val="20"/>
          <w:lang w:val="es-MX"/>
        </w:rPr>
        <w:t>Capacitar a las organizaciones en la implementación de Técnicas OWASP ya sea en línea o en sitio.</w:t>
      </w:r>
    </w:p>
    <w:p w:rsidR="005343BA" w:rsidRPr="00436EBD" w:rsidRDefault="005343BA" w:rsidP="00436EBD">
      <w:pPr>
        <w:pStyle w:val="ListParagraph"/>
        <w:numPr>
          <w:ilvl w:val="0"/>
          <w:numId w:val="7"/>
        </w:numPr>
        <w:rPr>
          <w:rStyle w:val="Heading1Char"/>
          <w:b w:val="0"/>
          <w:sz w:val="20"/>
          <w:lang w:val="es-MX"/>
        </w:rPr>
      </w:pPr>
      <w:r w:rsidRPr="00436EBD">
        <w:rPr>
          <w:rStyle w:val="Heading1Char"/>
          <w:b w:val="0"/>
          <w:sz w:val="20"/>
          <w:lang w:val="es-MX"/>
        </w:rPr>
        <w:t>Identificar las aplicaciones dentro del alcance por cada organización.</w:t>
      </w:r>
    </w:p>
    <w:p w:rsidR="005343BA" w:rsidRPr="00436EBD" w:rsidRDefault="005343BA" w:rsidP="00436EBD">
      <w:pPr>
        <w:pStyle w:val="ListParagraph"/>
        <w:numPr>
          <w:ilvl w:val="0"/>
          <w:numId w:val="7"/>
        </w:numPr>
        <w:rPr>
          <w:rStyle w:val="Heading1Char"/>
          <w:b w:val="0"/>
          <w:sz w:val="20"/>
          <w:lang w:val="es-MX"/>
        </w:rPr>
      </w:pPr>
      <w:r w:rsidRPr="00436EBD">
        <w:rPr>
          <w:rStyle w:val="Heading1Char"/>
          <w:b w:val="0"/>
          <w:sz w:val="20"/>
          <w:lang w:val="es-MX"/>
        </w:rPr>
        <w:t>Implementar las técnicas de OWASP en las aplicaciones dentro del alcance.</w:t>
      </w:r>
    </w:p>
    <w:p w:rsidR="005343BA" w:rsidRPr="00436EBD" w:rsidRDefault="005343BA" w:rsidP="00436EBD">
      <w:pPr>
        <w:pStyle w:val="ListParagraph"/>
        <w:numPr>
          <w:ilvl w:val="0"/>
          <w:numId w:val="7"/>
        </w:numPr>
        <w:rPr>
          <w:rStyle w:val="Heading1Char"/>
          <w:b w:val="0"/>
          <w:sz w:val="20"/>
          <w:lang w:val="es-MX"/>
        </w:rPr>
      </w:pPr>
      <w:r w:rsidRPr="00436EBD">
        <w:rPr>
          <w:rStyle w:val="Heading1Char"/>
          <w:b w:val="0"/>
          <w:sz w:val="20"/>
          <w:lang w:val="es-MX"/>
        </w:rPr>
        <w:t>Medir los resultados mediante:</w:t>
      </w:r>
    </w:p>
    <w:p w:rsidR="005343BA" w:rsidRPr="00436EBD" w:rsidRDefault="005343BA" w:rsidP="00436EBD">
      <w:pPr>
        <w:pStyle w:val="ListParagraph"/>
        <w:numPr>
          <w:ilvl w:val="1"/>
          <w:numId w:val="7"/>
        </w:numPr>
        <w:rPr>
          <w:rStyle w:val="Heading1Char"/>
          <w:b w:val="0"/>
          <w:sz w:val="20"/>
          <w:lang w:val="es-MX"/>
        </w:rPr>
      </w:pPr>
      <w:r w:rsidRPr="00436EBD">
        <w:rPr>
          <w:rStyle w:val="Heading1Char"/>
          <w:b w:val="0"/>
          <w:sz w:val="20"/>
          <w:lang w:val="es-MX"/>
        </w:rPr>
        <w:t>Indicadores clave de riesgo (KRI por sus siglas en inglés): Número y nivel de riesgo de las vulnerabilidades encontradas por un ejercicio de prueba de penetración, antes y después de la implementación de las técnicas OWASP.</w:t>
      </w:r>
    </w:p>
    <w:p w:rsidR="000D2742" w:rsidRDefault="005343BA" w:rsidP="00436EBD">
      <w:pPr>
        <w:pStyle w:val="ListParagraph"/>
        <w:numPr>
          <w:ilvl w:val="1"/>
          <w:numId w:val="7"/>
        </w:numPr>
        <w:rPr>
          <w:rStyle w:val="Heading1Char"/>
          <w:b w:val="0"/>
          <w:sz w:val="20"/>
          <w:lang w:val="es-MX"/>
        </w:rPr>
      </w:pPr>
      <w:r w:rsidRPr="00436EBD">
        <w:rPr>
          <w:rStyle w:val="Heading1Char"/>
          <w:b w:val="0"/>
          <w:sz w:val="20"/>
          <w:lang w:val="es-MX"/>
        </w:rPr>
        <w:t xml:space="preserve">Evaluación del nivel de madurez de la organización para el desarrollo seguro de </w:t>
      </w:r>
      <w:r w:rsidRPr="00436EBD">
        <w:rPr>
          <w:rStyle w:val="Heading1Char"/>
          <w:b w:val="0"/>
          <w:sz w:val="20"/>
          <w:lang w:val="es-MX"/>
        </w:rPr>
        <w:lastRenderedPageBreak/>
        <w:t>software, antes y después de la implementación de las técnicas OWASP.</w:t>
      </w:r>
    </w:p>
    <w:p w:rsidR="008E7CA6" w:rsidRPr="00436EBD" w:rsidRDefault="008E7CA6" w:rsidP="008E7CA6">
      <w:pPr>
        <w:pStyle w:val="ListParagraph"/>
        <w:ind w:left="1440"/>
        <w:rPr>
          <w:rStyle w:val="Heading1Char"/>
          <w:b w:val="0"/>
          <w:sz w:val="20"/>
          <w:lang w:val="es-MX"/>
        </w:rPr>
      </w:pPr>
    </w:p>
    <w:p w:rsidR="00477928" w:rsidRDefault="008E7CA6" w:rsidP="008E7CA6">
      <w:pPr>
        <w:pStyle w:val="ListParagraph"/>
        <w:numPr>
          <w:ilvl w:val="0"/>
          <w:numId w:val="4"/>
        </w:numPr>
        <w:spacing w:before="240"/>
      </w:pPr>
      <w:r>
        <w:rPr>
          <w:rStyle w:val="Heading1Char"/>
        </w:rPr>
        <w:t>ANTECEDENTES</w:t>
      </w:r>
      <w:r w:rsidR="00EF5077" w:rsidRPr="000D4A2F">
        <w:t xml:space="preserve"> </w:t>
      </w:r>
    </w:p>
    <w:p w:rsidR="008E7CA6" w:rsidRPr="00477928" w:rsidRDefault="008E7CA6" w:rsidP="00477928">
      <w:pPr>
        <w:spacing w:before="240"/>
      </w:pPr>
      <w:r w:rsidRPr="00477928">
        <w:rPr>
          <w:lang w:val="es-MX"/>
        </w:rPr>
        <w:t>Actualmente,  el costo total de un ataque cibernético va desde $3</w:t>
      </w:r>
      <w:proofErr w:type="gramStart"/>
      <w:r w:rsidRPr="00477928">
        <w:rPr>
          <w:lang w:val="es-MX"/>
        </w:rPr>
        <w:t>,252,912</w:t>
      </w:r>
      <w:proofErr w:type="gramEnd"/>
      <w:r w:rsidRPr="00477928">
        <w:rPr>
          <w:lang w:val="es-MX"/>
        </w:rPr>
        <w:t xml:space="preserve"> USD hasta $8,933,510 USD</w:t>
      </w:r>
      <w:r w:rsidRPr="00477928">
        <w:rPr>
          <w:lang w:val="es-MX"/>
        </w:rPr>
        <w:t xml:space="preserve"> </w:t>
      </w:r>
      <w:sdt>
        <w:sdtPr>
          <w:rPr>
            <w:lang w:val="es-MX"/>
          </w:rPr>
          <w:id w:val="1816443680"/>
          <w:citation/>
        </w:sdtPr>
        <w:sdtContent>
          <w:r w:rsidRPr="00477928">
            <w:rPr>
              <w:lang w:val="es-MX"/>
            </w:rPr>
            <w:fldChar w:fldCharType="begin"/>
          </w:r>
          <w:r w:rsidRPr="00477928">
            <w:rPr>
              <w:lang w:val="es-MX"/>
            </w:rPr>
            <w:instrText xml:space="preserve"> CITATION Pon12 \l 2058 </w:instrText>
          </w:r>
          <w:r w:rsidRPr="00477928">
            <w:rPr>
              <w:lang w:val="es-MX"/>
            </w:rPr>
            <w:fldChar w:fldCharType="separate"/>
          </w:r>
          <w:r w:rsidRPr="00477928">
            <w:rPr>
              <w:noProof/>
              <w:lang w:val="es-MX"/>
            </w:rPr>
            <w:t>(Ponemon Institute, 2012)</w:t>
          </w:r>
          <w:r w:rsidRPr="00477928">
            <w:rPr>
              <w:lang w:val="es-MX"/>
            </w:rPr>
            <w:fldChar w:fldCharType="end"/>
          </w:r>
        </w:sdtContent>
      </w:sdt>
      <w:r w:rsidRPr="00477928">
        <w:rPr>
          <w:lang w:val="es-MX"/>
        </w:rPr>
        <w:t>. La siguiente figura muestra el costo anual promedio por ataque donde podemos ver que los “Web-</w:t>
      </w:r>
      <w:proofErr w:type="spellStart"/>
      <w:r w:rsidRPr="00477928">
        <w:rPr>
          <w:lang w:val="es-MX"/>
        </w:rPr>
        <w:t>based</w:t>
      </w:r>
      <w:proofErr w:type="spellEnd"/>
      <w:r w:rsidRPr="00477928">
        <w:rPr>
          <w:lang w:val="es-MX"/>
        </w:rPr>
        <w:t xml:space="preserve"> </w:t>
      </w:r>
      <w:proofErr w:type="spellStart"/>
      <w:r w:rsidRPr="00477928">
        <w:rPr>
          <w:lang w:val="es-MX"/>
        </w:rPr>
        <w:t>attacks</w:t>
      </w:r>
      <w:proofErr w:type="spellEnd"/>
      <w:r w:rsidRPr="00477928">
        <w:rPr>
          <w:lang w:val="es-MX"/>
        </w:rPr>
        <w:t>” se encuentran en la tercer categoría de ataque con mayores costos para las compañías.</w:t>
      </w:r>
    </w:p>
    <w:p w:rsidR="008E7CA6" w:rsidRPr="008E7CA6" w:rsidRDefault="008E7CA6" w:rsidP="008E7CA6">
      <w:pPr>
        <w:pStyle w:val="Caption"/>
        <w:keepNext/>
        <w:rPr>
          <w:lang w:val="es-MX"/>
        </w:rPr>
      </w:pPr>
      <w:r w:rsidRPr="008E7CA6">
        <w:rPr>
          <w:lang w:val="es-MX"/>
        </w:rPr>
        <w:t xml:space="preserve">Figura </w:t>
      </w:r>
      <w:r>
        <w:fldChar w:fldCharType="begin"/>
      </w:r>
      <w:r w:rsidRPr="008E7CA6">
        <w:rPr>
          <w:lang w:val="es-MX"/>
        </w:rPr>
        <w:instrText xml:space="preserve"> SEQ Figura \* ARABIC </w:instrText>
      </w:r>
      <w:r>
        <w:fldChar w:fldCharType="separate"/>
      </w:r>
      <w:r>
        <w:rPr>
          <w:noProof/>
          <w:lang w:val="es-MX"/>
        </w:rPr>
        <w:t>1</w:t>
      </w:r>
      <w:r>
        <w:fldChar w:fldCharType="end"/>
      </w:r>
      <w:r w:rsidRPr="008E7CA6">
        <w:rPr>
          <w:lang w:val="es-MX"/>
        </w:rPr>
        <w:t xml:space="preserve"> </w:t>
      </w:r>
      <w:r w:rsidRPr="008E7CA6">
        <w:rPr>
          <w:lang w:val="es-MX"/>
        </w:rPr>
        <w:t xml:space="preserve">Costo anual promedio de un </w:t>
      </w:r>
      <w:proofErr w:type="spellStart"/>
      <w:r w:rsidRPr="008E7CA6">
        <w:rPr>
          <w:lang w:val="es-MX"/>
        </w:rPr>
        <w:t>ciber</w:t>
      </w:r>
      <w:proofErr w:type="spellEnd"/>
      <w:r w:rsidRPr="008E7CA6">
        <w:rPr>
          <w:lang w:val="es-MX"/>
        </w:rPr>
        <w:t xml:space="preserve"> ataque (</w:t>
      </w:r>
      <w:proofErr w:type="spellStart"/>
      <w:r w:rsidRPr="008E7CA6">
        <w:rPr>
          <w:lang w:val="es-MX"/>
        </w:rPr>
        <w:t>Ponemon</w:t>
      </w:r>
      <w:proofErr w:type="spellEnd"/>
      <w:r w:rsidRPr="008E7CA6">
        <w:rPr>
          <w:lang w:val="es-MX"/>
        </w:rPr>
        <w:t xml:space="preserve"> </w:t>
      </w:r>
      <w:proofErr w:type="spellStart"/>
      <w:r w:rsidRPr="008E7CA6">
        <w:rPr>
          <w:lang w:val="es-MX"/>
        </w:rPr>
        <w:t>Institute</w:t>
      </w:r>
      <w:proofErr w:type="spellEnd"/>
      <w:r w:rsidRPr="008E7CA6">
        <w:rPr>
          <w:lang w:val="es-MX"/>
        </w:rPr>
        <w:t>, 2012)</w:t>
      </w:r>
    </w:p>
    <w:p w:rsidR="008E7CA6" w:rsidRPr="008E7CA6" w:rsidRDefault="008E7CA6" w:rsidP="008E7CA6">
      <w:pPr>
        <w:spacing w:before="240"/>
        <w:rPr>
          <w:lang w:val="es-MX"/>
        </w:rPr>
      </w:pPr>
      <w:r>
        <w:rPr>
          <w:noProof/>
        </w:rPr>
        <w:drawing>
          <wp:inline distT="0" distB="0" distL="0" distR="0" wp14:anchorId="2D2DEDC2" wp14:editId="5606F32F">
            <wp:extent cx="3221990" cy="318225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21990" cy="3182253"/>
                    </a:xfrm>
                    <a:prstGeom prst="rect">
                      <a:avLst/>
                    </a:prstGeom>
                  </pic:spPr>
                </pic:pic>
              </a:graphicData>
            </a:graphic>
          </wp:inline>
        </w:drawing>
      </w:r>
    </w:p>
    <w:p w:rsidR="008E7CA6" w:rsidRPr="008E7CA6" w:rsidRDefault="008E7CA6" w:rsidP="008E7CA6">
      <w:pPr>
        <w:spacing w:before="240"/>
        <w:rPr>
          <w:lang w:val="es-MX"/>
        </w:rPr>
      </w:pPr>
      <w:r w:rsidRPr="008E7CA6">
        <w:rPr>
          <w:lang w:val="es-MX"/>
        </w:rPr>
        <w:t xml:space="preserve"> El estudio contempló entre otro tipo de ataques las inyecciones de SQL dentro de la categoría “Web-</w:t>
      </w:r>
      <w:proofErr w:type="spellStart"/>
      <w:r w:rsidRPr="008E7CA6">
        <w:rPr>
          <w:lang w:val="es-MX"/>
        </w:rPr>
        <w:t>based</w:t>
      </w:r>
      <w:proofErr w:type="spellEnd"/>
      <w:r w:rsidRPr="008E7CA6">
        <w:rPr>
          <w:lang w:val="es-MX"/>
        </w:rPr>
        <w:t xml:space="preserve"> </w:t>
      </w:r>
      <w:proofErr w:type="spellStart"/>
      <w:r w:rsidRPr="008E7CA6">
        <w:rPr>
          <w:lang w:val="es-MX"/>
        </w:rPr>
        <w:t>attacks</w:t>
      </w:r>
      <w:proofErr w:type="spellEnd"/>
      <w:r w:rsidRPr="008E7CA6">
        <w:rPr>
          <w:lang w:val="es-MX"/>
        </w:rPr>
        <w:t>”.</w:t>
      </w:r>
    </w:p>
    <w:p w:rsidR="008E7CA6" w:rsidRPr="008E7CA6" w:rsidRDefault="008E7CA6" w:rsidP="008E7CA6">
      <w:pPr>
        <w:spacing w:before="240"/>
        <w:rPr>
          <w:lang w:val="es-MX"/>
        </w:rPr>
      </w:pPr>
      <w:r w:rsidRPr="008E7CA6">
        <w:rPr>
          <w:lang w:val="es-MX"/>
        </w:rPr>
        <w:t>Las vulnerabilidades en las aplicaciones web siguen siendo populares debido a la falta de atención por parte de las organizaciones y desarrolladores de software para evitarlos</w:t>
      </w:r>
      <w:r>
        <w:rPr>
          <w:lang w:val="es-MX"/>
        </w:rPr>
        <w:t xml:space="preserve"> </w:t>
      </w:r>
      <w:sdt>
        <w:sdtPr>
          <w:rPr>
            <w:lang w:val="es-MX"/>
          </w:rPr>
          <w:id w:val="-273490940"/>
          <w:citation/>
        </w:sdtPr>
        <w:sdtContent>
          <w:r>
            <w:rPr>
              <w:lang w:val="es-MX"/>
            </w:rPr>
            <w:fldChar w:fldCharType="begin"/>
          </w:r>
          <w:r>
            <w:rPr>
              <w:lang w:val="es-MX"/>
            </w:rPr>
            <w:instrText xml:space="preserve"> CITATION HP212 \l 2058 </w:instrText>
          </w:r>
          <w:r>
            <w:rPr>
              <w:lang w:val="es-MX"/>
            </w:rPr>
            <w:fldChar w:fldCharType="separate"/>
          </w:r>
          <w:r>
            <w:rPr>
              <w:noProof/>
              <w:lang w:val="es-MX"/>
            </w:rPr>
            <w:t>(Hewlett-Packard, 2012)</w:t>
          </w:r>
          <w:r>
            <w:rPr>
              <w:lang w:val="es-MX"/>
            </w:rPr>
            <w:fldChar w:fldCharType="end"/>
          </w:r>
        </w:sdtContent>
      </w:sdt>
      <w:r w:rsidRPr="008E7CA6">
        <w:rPr>
          <w:lang w:val="es-MX"/>
        </w:rPr>
        <w:t>. Una de las vulnerabilidades más comunes encontrada durante 2012 fue la de inyección de SQL.</w:t>
      </w:r>
    </w:p>
    <w:p w:rsidR="008E7CA6" w:rsidRPr="008E7CA6" w:rsidRDefault="008E7CA6" w:rsidP="008E7CA6">
      <w:pPr>
        <w:spacing w:before="240"/>
        <w:rPr>
          <w:lang w:val="es-MX"/>
        </w:rPr>
      </w:pPr>
      <w:r w:rsidRPr="008E7CA6">
        <w:rPr>
          <w:lang w:val="es-MX"/>
        </w:rPr>
        <w:t>La siguiente figura ilustra las vulnerabilidades reportadas por trimestre desde 2005 hasta 2012 demostran</w:t>
      </w:r>
      <w:r>
        <w:rPr>
          <w:lang w:val="es-MX"/>
        </w:rPr>
        <w:t>do que las vulnerabilidades de i</w:t>
      </w:r>
      <w:r w:rsidRPr="008E7CA6">
        <w:rPr>
          <w:lang w:val="es-MX"/>
        </w:rPr>
        <w:t>nyección de SQL han sido una de las más constantes a lo largo de los años</w:t>
      </w:r>
      <w:r>
        <w:rPr>
          <w:lang w:val="es-MX"/>
        </w:rPr>
        <w:t xml:space="preserve"> </w:t>
      </w:r>
      <w:sdt>
        <w:sdtPr>
          <w:rPr>
            <w:lang w:val="es-MX"/>
          </w:rPr>
          <w:id w:val="969711080"/>
          <w:citation/>
        </w:sdtPr>
        <w:sdtContent>
          <w:r>
            <w:rPr>
              <w:lang w:val="es-MX"/>
            </w:rPr>
            <w:fldChar w:fldCharType="begin"/>
          </w:r>
          <w:r>
            <w:rPr>
              <w:lang w:val="es-MX"/>
            </w:rPr>
            <w:instrText xml:space="preserve"> CITATION The12 \l 2058 </w:instrText>
          </w:r>
          <w:r>
            <w:rPr>
              <w:lang w:val="es-MX"/>
            </w:rPr>
            <w:fldChar w:fldCharType="separate"/>
          </w:r>
          <w:r>
            <w:rPr>
              <w:noProof/>
              <w:lang w:val="es-MX"/>
            </w:rPr>
            <w:t>(The Open Source Vulnerability Database, 2012)</w:t>
          </w:r>
          <w:r>
            <w:rPr>
              <w:lang w:val="es-MX"/>
            </w:rPr>
            <w:fldChar w:fldCharType="end"/>
          </w:r>
        </w:sdtContent>
      </w:sdt>
      <w:r w:rsidRPr="008E7CA6">
        <w:rPr>
          <w:lang w:val="es-MX"/>
        </w:rPr>
        <w:t>.</w:t>
      </w:r>
    </w:p>
    <w:p w:rsidR="008E7CA6" w:rsidRDefault="008E7CA6" w:rsidP="008E7CA6">
      <w:pPr>
        <w:pStyle w:val="Caption"/>
        <w:keepNext/>
      </w:pPr>
      <w:proofErr w:type="spellStart"/>
      <w:r>
        <w:lastRenderedPageBreak/>
        <w:t>Figura</w:t>
      </w:r>
      <w:proofErr w:type="spellEnd"/>
      <w:r>
        <w:t xml:space="preserve"> </w:t>
      </w:r>
      <w:r>
        <w:fldChar w:fldCharType="begin"/>
      </w:r>
      <w:r>
        <w:instrText xml:space="preserve"> SEQ Figura \* ARABIC </w:instrText>
      </w:r>
      <w:r>
        <w:fldChar w:fldCharType="separate"/>
      </w:r>
      <w:r>
        <w:rPr>
          <w:noProof/>
        </w:rPr>
        <w:t>2</w:t>
      </w:r>
      <w:r>
        <w:fldChar w:fldCharType="end"/>
      </w:r>
      <w:r>
        <w:t xml:space="preserve"> </w:t>
      </w:r>
      <w:r w:rsidRPr="008E7CA6">
        <w:rPr>
          <w:lang w:val="es-MX"/>
        </w:rPr>
        <w:t>Vulnerabilidades por trimestre 2005-2012 (</w:t>
      </w:r>
      <w:proofErr w:type="spellStart"/>
      <w:r w:rsidRPr="008E7CA6">
        <w:rPr>
          <w:lang w:val="es-MX"/>
        </w:rPr>
        <w:t>The</w:t>
      </w:r>
      <w:proofErr w:type="spellEnd"/>
      <w:r w:rsidRPr="008E7CA6">
        <w:rPr>
          <w:lang w:val="es-MX"/>
        </w:rPr>
        <w:t xml:space="preserve"> Open </w:t>
      </w:r>
      <w:proofErr w:type="spellStart"/>
      <w:r w:rsidRPr="008E7CA6">
        <w:rPr>
          <w:lang w:val="es-MX"/>
        </w:rPr>
        <w:t>Source</w:t>
      </w:r>
      <w:proofErr w:type="spellEnd"/>
      <w:r w:rsidRPr="008E7CA6">
        <w:rPr>
          <w:lang w:val="es-MX"/>
        </w:rPr>
        <w:t xml:space="preserve"> </w:t>
      </w:r>
      <w:proofErr w:type="spellStart"/>
      <w:r w:rsidRPr="008E7CA6">
        <w:rPr>
          <w:lang w:val="es-MX"/>
        </w:rPr>
        <w:t>Vulnerability</w:t>
      </w:r>
      <w:proofErr w:type="spellEnd"/>
      <w:r w:rsidRPr="008E7CA6">
        <w:rPr>
          <w:lang w:val="es-MX"/>
        </w:rPr>
        <w:t xml:space="preserve"> </w:t>
      </w:r>
      <w:proofErr w:type="spellStart"/>
      <w:r w:rsidRPr="008E7CA6">
        <w:rPr>
          <w:lang w:val="es-MX"/>
        </w:rPr>
        <w:t>Database</w:t>
      </w:r>
      <w:proofErr w:type="spellEnd"/>
      <w:r w:rsidRPr="008E7CA6">
        <w:rPr>
          <w:lang w:val="es-MX"/>
        </w:rPr>
        <w:t>, 2012)</w:t>
      </w:r>
    </w:p>
    <w:p w:rsidR="008E7CA6" w:rsidRPr="008E7CA6" w:rsidRDefault="008E7CA6" w:rsidP="008E7CA6">
      <w:pPr>
        <w:spacing w:before="240"/>
        <w:rPr>
          <w:lang w:val="es-MX"/>
        </w:rPr>
      </w:pPr>
      <w:r>
        <w:rPr>
          <w:noProof/>
        </w:rPr>
        <w:drawing>
          <wp:inline distT="0" distB="0" distL="0" distR="0" wp14:anchorId="1EFE96C7" wp14:editId="27EB0B0A">
            <wp:extent cx="3221990" cy="1872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21990" cy="1872750"/>
                    </a:xfrm>
                    <a:prstGeom prst="rect">
                      <a:avLst/>
                    </a:prstGeom>
                  </pic:spPr>
                </pic:pic>
              </a:graphicData>
            </a:graphic>
          </wp:inline>
        </w:drawing>
      </w:r>
    </w:p>
    <w:p w:rsidR="008E7CA6" w:rsidRPr="008E7CA6" w:rsidRDefault="008E7CA6" w:rsidP="008E7CA6">
      <w:pPr>
        <w:spacing w:before="240"/>
        <w:rPr>
          <w:lang w:val="es-MX"/>
        </w:rPr>
      </w:pPr>
      <w:r w:rsidRPr="008E7CA6">
        <w:rPr>
          <w:lang w:val="es-MX"/>
        </w:rPr>
        <w:t xml:space="preserve"> Sin embargo, el universo de los ataques a aplicaciones web es grande y no sería posible evaluar todos ellos como alcance de éste estudio de caso. Por lo anterior, nos enfocaremos en el ataque más común y con más nivel de riesgo en aplicaciones web: la inyección de SQL</w:t>
      </w:r>
      <w:r>
        <w:rPr>
          <w:lang w:val="es-MX"/>
        </w:rPr>
        <w:t xml:space="preserve"> </w:t>
      </w:r>
      <w:sdt>
        <w:sdtPr>
          <w:rPr>
            <w:lang w:val="es-MX"/>
          </w:rPr>
          <w:id w:val="1512491607"/>
          <w:citation/>
        </w:sdtPr>
        <w:sdtContent>
          <w:r>
            <w:rPr>
              <w:lang w:val="es-MX"/>
            </w:rPr>
            <w:fldChar w:fldCharType="begin"/>
          </w:r>
          <w:r>
            <w:rPr>
              <w:lang w:val="es-MX"/>
            </w:rPr>
            <w:instrText xml:space="preserve"> CITATION OWA13 \l 2058 </w:instrText>
          </w:r>
          <w:r>
            <w:rPr>
              <w:lang w:val="es-MX"/>
            </w:rPr>
            <w:fldChar w:fldCharType="separate"/>
          </w:r>
          <w:r>
            <w:rPr>
              <w:noProof/>
              <w:lang w:val="es-MX"/>
            </w:rPr>
            <w:t>(Williams &amp; Wichers, 2013)</w:t>
          </w:r>
          <w:r>
            <w:rPr>
              <w:lang w:val="es-MX"/>
            </w:rPr>
            <w:fldChar w:fldCharType="end"/>
          </w:r>
        </w:sdtContent>
      </w:sdt>
      <w:r w:rsidRPr="008E7CA6">
        <w:rPr>
          <w:lang w:val="es-MX"/>
        </w:rPr>
        <w:t xml:space="preserve">. </w:t>
      </w:r>
    </w:p>
    <w:p w:rsidR="008E7CA6" w:rsidRPr="008E7CA6" w:rsidRDefault="008E7CA6" w:rsidP="008E7CA6">
      <w:pPr>
        <w:spacing w:before="240"/>
        <w:rPr>
          <w:lang w:val="es-MX"/>
        </w:rPr>
      </w:pPr>
      <w:r w:rsidRPr="008E7CA6">
        <w:rPr>
          <w:lang w:val="es-MX"/>
        </w:rPr>
        <w:t xml:space="preserve">No resulta claro cuándo fue la primera vez que un ataque de SQL se presentó, sin embargo el crédito se ha dado a Rain </w:t>
      </w:r>
      <w:proofErr w:type="spellStart"/>
      <w:r w:rsidRPr="008E7CA6">
        <w:rPr>
          <w:lang w:val="es-MX"/>
        </w:rPr>
        <w:t>Forest</w:t>
      </w:r>
      <w:proofErr w:type="spellEnd"/>
      <w:r w:rsidRPr="008E7CA6">
        <w:rPr>
          <w:lang w:val="es-MX"/>
        </w:rPr>
        <w:t xml:space="preserve"> </w:t>
      </w:r>
      <w:proofErr w:type="spellStart"/>
      <w:r w:rsidRPr="008E7CA6">
        <w:rPr>
          <w:lang w:val="es-MX"/>
        </w:rPr>
        <w:t>Puppy</w:t>
      </w:r>
      <w:proofErr w:type="spellEnd"/>
      <w:r w:rsidRPr="008E7CA6">
        <w:rPr>
          <w:lang w:val="es-MX"/>
        </w:rPr>
        <w:t xml:space="preserve"> quien en 1998 hizo público cómo funcionan estos ataques al describirlos en su artículo</w:t>
      </w:r>
      <w:r>
        <w:rPr>
          <w:lang w:val="es-MX"/>
        </w:rPr>
        <w:t xml:space="preserve"> </w:t>
      </w:r>
      <w:sdt>
        <w:sdtPr>
          <w:rPr>
            <w:lang w:val="es-MX"/>
          </w:rPr>
          <w:id w:val="1681843734"/>
          <w:citation/>
        </w:sdtPr>
        <w:sdtContent>
          <w:r>
            <w:rPr>
              <w:lang w:val="es-MX"/>
            </w:rPr>
            <w:fldChar w:fldCharType="begin"/>
          </w:r>
          <w:r>
            <w:rPr>
              <w:lang w:val="es-MX"/>
            </w:rPr>
            <w:instrText xml:space="preserve"> CITATION Rai98 \l 2058 </w:instrText>
          </w:r>
          <w:r>
            <w:rPr>
              <w:lang w:val="es-MX"/>
            </w:rPr>
            <w:fldChar w:fldCharType="separate"/>
          </w:r>
          <w:r>
            <w:rPr>
              <w:noProof/>
              <w:lang w:val="es-MX"/>
            </w:rPr>
            <w:t>(Puppy, 1998)</w:t>
          </w:r>
          <w:r>
            <w:rPr>
              <w:lang w:val="es-MX"/>
            </w:rPr>
            <w:fldChar w:fldCharType="end"/>
          </w:r>
        </w:sdtContent>
      </w:sdt>
      <w:r w:rsidRPr="008E7CA6">
        <w:rPr>
          <w:lang w:val="es-MX"/>
        </w:rPr>
        <w:t>. Desde entonces y como hemos analizado anteriormente, ha sido uno de los ataques más constantes</w:t>
      </w:r>
      <w:r>
        <w:rPr>
          <w:lang w:val="es-MX"/>
        </w:rPr>
        <w:t xml:space="preserve">, provocando pérdida de información personal y daños </w:t>
      </w:r>
      <w:proofErr w:type="spellStart"/>
      <w:r>
        <w:rPr>
          <w:lang w:val="es-MX"/>
        </w:rPr>
        <w:t>reputacionales</w:t>
      </w:r>
      <w:proofErr w:type="spellEnd"/>
      <w:r>
        <w:rPr>
          <w:lang w:val="es-MX"/>
        </w:rPr>
        <w:t xml:space="preserve"> a organizaciones como lo señala </w:t>
      </w:r>
      <w:sdt>
        <w:sdtPr>
          <w:rPr>
            <w:lang w:val="es-MX"/>
          </w:rPr>
          <w:id w:val="-583220717"/>
          <w:citation/>
        </w:sdtPr>
        <w:sdtContent>
          <w:r>
            <w:rPr>
              <w:lang w:val="es-MX"/>
            </w:rPr>
            <w:fldChar w:fldCharType="begin"/>
          </w:r>
          <w:r>
            <w:rPr>
              <w:lang w:val="es-MX"/>
            </w:rPr>
            <w:instrText xml:space="preserve"> CITATION Cla12 \l 2058 </w:instrText>
          </w:r>
          <w:r>
            <w:rPr>
              <w:lang w:val="es-MX"/>
            </w:rPr>
            <w:fldChar w:fldCharType="separate"/>
          </w:r>
          <w:r>
            <w:rPr>
              <w:noProof/>
              <w:lang w:val="es-MX"/>
            </w:rPr>
            <w:t>(Clarke, 2012)</w:t>
          </w:r>
          <w:r>
            <w:rPr>
              <w:lang w:val="es-MX"/>
            </w:rPr>
            <w:fldChar w:fldCharType="end"/>
          </w:r>
        </w:sdtContent>
      </w:sdt>
      <w:r>
        <w:rPr>
          <w:lang w:val="es-MX"/>
        </w:rPr>
        <w:t xml:space="preserve"> en diversos ejemplos que proporciona en su estudio.</w:t>
      </w:r>
    </w:p>
    <w:p w:rsidR="008E7CA6" w:rsidRDefault="008E7CA6" w:rsidP="008E7CA6">
      <w:pPr>
        <w:pStyle w:val="Heading2"/>
        <w:numPr>
          <w:ilvl w:val="1"/>
          <w:numId w:val="4"/>
        </w:numPr>
        <w:spacing w:before="120"/>
        <w:rPr>
          <w:lang w:val="es-MX"/>
        </w:rPr>
      </w:pPr>
      <w:r>
        <w:rPr>
          <w:lang w:val="es-MX"/>
        </w:rPr>
        <w:t>La Fundación OWASP</w:t>
      </w:r>
    </w:p>
    <w:p w:rsidR="008E7CA6" w:rsidRPr="008E7CA6" w:rsidRDefault="008E7CA6" w:rsidP="008E7CA6">
      <w:pPr>
        <w:rPr>
          <w:lang w:val="es-MX"/>
        </w:rPr>
      </w:pPr>
      <w:r w:rsidRPr="008E7CA6">
        <w:rPr>
          <w:lang w:val="es-MX"/>
        </w:rPr>
        <w:t>La fundación OWASP surgió en 2001 debido a la necesidad de contar con un estándar de la industria de la seguridad para desarrollar una metodología para hacer pruebas de seguridad en aplicaciones web. Sus miembros desde un inicio y hasta la fecha hacen aportaciones voluntarias ya sea con fondos económicos, desarrollando proyectos, software y documentación en nombre de la fundación, así como en la difusión del material mencionado.</w:t>
      </w:r>
    </w:p>
    <w:p w:rsidR="008E7CA6" w:rsidRPr="008E7CA6" w:rsidRDefault="008E7CA6" w:rsidP="008E7CA6">
      <w:pPr>
        <w:rPr>
          <w:lang w:val="es-MX"/>
        </w:rPr>
      </w:pPr>
      <w:r w:rsidRPr="008E7CA6">
        <w:rPr>
          <w:lang w:val="es-MX"/>
        </w:rPr>
        <w:t>OWASP es una fundación no lucrativa cuyo principal propósito es proporcionar a la industria de la seguridad información material que ayude a las organizaciones y profesionales a tomar decisiones informadas cuando haya que aplicar controles de seguridad en aplicaciones web.</w:t>
      </w:r>
    </w:p>
    <w:p w:rsidR="008E7CA6" w:rsidRPr="008E7CA6" w:rsidRDefault="008E7CA6" w:rsidP="008E7CA6">
      <w:pPr>
        <w:rPr>
          <w:lang w:val="es-MX"/>
        </w:rPr>
      </w:pPr>
      <w:r w:rsidRPr="008E7CA6">
        <w:rPr>
          <w:lang w:val="es-MX"/>
        </w:rPr>
        <w:t xml:space="preserve">El material desarrollado por la fundación es libre y el código es abierto, de tal forma que puede ser obtenido por cualquier persona e incluso puede ser mejorado dependiendo de las necesidades de cada organización. El software generado por OWASP se puede distribuir bajo la licencia de software libre. </w:t>
      </w:r>
    </w:p>
    <w:p w:rsidR="008E7CA6" w:rsidRPr="008E7CA6" w:rsidRDefault="008E7CA6" w:rsidP="008E7CA6">
      <w:pPr>
        <w:rPr>
          <w:lang w:val="es-MX"/>
        </w:rPr>
      </w:pPr>
      <w:r w:rsidRPr="008E7CA6">
        <w:rPr>
          <w:lang w:val="es-MX"/>
        </w:rPr>
        <w:t>OWASP está influenciado por otros estándares internacionales de seguridad de la información como COBIT e ISO27001; por lo tanto “</w:t>
      </w:r>
      <w:r w:rsidRPr="002E25AC">
        <w:rPr>
          <w:i/>
          <w:lang w:val="es-MX"/>
        </w:rPr>
        <w:t xml:space="preserve">Es perfectamente correcto mezclar y combinar controles de COBIT y de ISO 17799 y casi cualquier otro estándar de seguridad de la información; rara vez se </w:t>
      </w:r>
      <w:r w:rsidRPr="002E25AC">
        <w:rPr>
          <w:i/>
          <w:lang w:val="es-MX"/>
        </w:rPr>
        <w:lastRenderedPageBreak/>
        <w:t>encuentran en desacuerdo en los detalles</w:t>
      </w:r>
      <w:r w:rsidRPr="008E7CA6">
        <w:rPr>
          <w:lang w:val="es-MX"/>
        </w:rPr>
        <w:t>”</w:t>
      </w:r>
      <w:r w:rsidR="002E25AC">
        <w:rPr>
          <w:lang w:val="es-MX"/>
        </w:rPr>
        <w:t xml:space="preserve"> </w:t>
      </w:r>
      <w:sdt>
        <w:sdtPr>
          <w:rPr>
            <w:lang w:val="es-MX"/>
          </w:rPr>
          <w:id w:val="-1407461283"/>
          <w:citation/>
        </w:sdtPr>
        <w:sdtContent>
          <w:r w:rsidR="002E25AC">
            <w:rPr>
              <w:lang w:val="es-MX"/>
            </w:rPr>
            <w:fldChar w:fldCharType="begin"/>
          </w:r>
          <w:r w:rsidR="002E25AC">
            <w:rPr>
              <w:lang w:val="es-MX"/>
            </w:rPr>
            <w:instrText xml:space="preserve"> CITATION van05 \l 2058 </w:instrText>
          </w:r>
          <w:r w:rsidR="002E25AC">
            <w:rPr>
              <w:lang w:val="es-MX"/>
            </w:rPr>
            <w:fldChar w:fldCharType="separate"/>
          </w:r>
          <w:r w:rsidR="002E25AC">
            <w:rPr>
              <w:noProof/>
              <w:lang w:val="es-MX"/>
            </w:rPr>
            <w:t>(van der Stock, 2005)</w:t>
          </w:r>
          <w:r w:rsidR="002E25AC">
            <w:rPr>
              <w:lang w:val="es-MX"/>
            </w:rPr>
            <w:fldChar w:fldCharType="end"/>
          </w:r>
        </w:sdtContent>
      </w:sdt>
      <w:r w:rsidRPr="008E7CA6">
        <w:rPr>
          <w:lang w:val="es-MX"/>
        </w:rPr>
        <w:t xml:space="preserve">. </w:t>
      </w:r>
    </w:p>
    <w:p w:rsidR="00D776A4" w:rsidRPr="008E7CA6" w:rsidRDefault="00A0225F" w:rsidP="008E7CA6">
      <w:pPr>
        <w:pStyle w:val="Heading2"/>
        <w:numPr>
          <w:ilvl w:val="1"/>
          <w:numId w:val="4"/>
        </w:numPr>
        <w:spacing w:before="120"/>
        <w:rPr>
          <w:lang w:val="es-MX"/>
        </w:rPr>
      </w:pPr>
      <w:r>
        <w:rPr>
          <w:lang w:val="es-MX"/>
        </w:rPr>
        <w:t>Objetivos de la Investigación</w:t>
      </w:r>
    </w:p>
    <w:p w:rsidR="00A0225F" w:rsidRPr="00A0225F" w:rsidRDefault="00A0225F" w:rsidP="00A0225F">
      <w:pPr>
        <w:pStyle w:val="ListParagraph"/>
        <w:numPr>
          <w:ilvl w:val="2"/>
          <w:numId w:val="4"/>
        </w:numPr>
        <w:rPr>
          <w:i/>
          <w:sz w:val="22"/>
          <w:lang w:val="es-MX"/>
        </w:rPr>
      </w:pPr>
      <w:r>
        <w:rPr>
          <w:i/>
          <w:sz w:val="22"/>
          <w:lang w:val="es-MX"/>
        </w:rPr>
        <w:t>Objetivos Generales</w:t>
      </w:r>
    </w:p>
    <w:p w:rsidR="00A0225F" w:rsidRDefault="00A0225F" w:rsidP="00A0225F">
      <w:pPr>
        <w:rPr>
          <w:lang w:val="es-MX"/>
        </w:rPr>
      </w:pPr>
      <w:r w:rsidRPr="00A0225F">
        <w:rPr>
          <w:lang w:val="es-MX"/>
        </w:rPr>
        <w:t>Evaluar la efectividad de la aplicación de técnicas de OWASP para la protección contra ataques de inyección de SQL</w:t>
      </w:r>
    </w:p>
    <w:p w:rsidR="00A0225F" w:rsidRPr="00A0225F" w:rsidRDefault="00A0225F" w:rsidP="00A0225F">
      <w:pPr>
        <w:pStyle w:val="ListParagraph"/>
        <w:numPr>
          <w:ilvl w:val="2"/>
          <w:numId w:val="4"/>
        </w:numPr>
        <w:rPr>
          <w:i/>
          <w:sz w:val="22"/>
          <w:lang w:val="es-MX"/>
        </w:rPr>
      </w:pPr>
      <w:r w:rsidRPr="00A0225F">
        <w:rPr>
          <w:i/>
          <w:sz w:val="22"/>
          <w:lang w:val="es-MX"/>
        </w:rPr>
        <w:t>Objetivos Específicos</w:t>
      </w:r>
    </w:p>
    <w:p w:rsidR="00A0225F" w:rsidRPr="00A0225F" w:rsidRDefault="00A0225F" w:rsidP="00A0225F">
      <w:pPr>
        <w:rPr>
          <w:lang w:val="es-MX"/>
        </w:rPr>
      </w:pPr>
      <w:r w:rsidRPr="00A0225F">
        <w:rPr>
          <w:lang w:val="es-MX"/>
        </w:rPr>
        <w:t>Los objetivos particulares de</w:t>
      </w:r>
      <w:r>
        <w:rPr>
          <w:lang w:val="es-MX"/>
        </w:rPr>
        <w:t xml:space="preserve"> éste estudio son</w:t>
      </w:r>
      <w:r w:rsidRPr="00A0225F">
        <w:rPr>
          <w:lang w:val="es-MX"/>
        </w:rPr>
        <w:t>:</w:t>
      </w:r>
    </w:p>
    <w:p w:rsidR="00A0225F" w:rsidRPr="00A0225F" w:rsidRDefault="00A0225F" w:rsidP="00A0225F">
      <w:pPr>
        <w:pStyle w:val="ListParagraph"/>
        <w:numPr>
          <w:ilvl w:val="0"/>
          <w:numId w:val="8"/>
        </w:numPr>
        <w:rPr>
          <w:lang w:val="es-MX"/>
        </w:rPr>
      </w:pPr>
      <w:r w:rsidRPr="00A0225F">
        <w:rPr>
          <w:lang w:val="es-MX"/>
        </w:rPr>
        <w:t>Ejecutar ataques de Inyección de SQL a objetivos específicos.</w:t>
      </w:r>
    </w:p>
    <w:p w:rsidR="00A0225F" w:rsidRPr="00A0225F" w:rsidRDefault="00A0225F" w:rsidP="00A0225F">
      <w:pPr>
        <w:pStyle w:val="ListParagraph"/>
        <w:numPr>
          <w:ilvl w:val="0"/>
          <w:numId w:val="8"/>
        </w:numPr>
        <w:rPr>
          <w:lang w:val="es-MX"/>
        </w:rPr>
      </w:pPr>
      <w:r w:rsidRPr="00A0225F">
        <w:rPr>
          <w:lang w:val="es-MX"/>
        </w:rPr>
        <w:t>Obtener las métricas de riesgo tales como el número total de vulnerabilidades identificadas así como su clasificación de riesgo con base a OWASP.</w:t>
      </w:r>
    </w:p>
    <w:p w:rsidR="00A0225F" w:rsidRPr="00A0225F" w:rsidRDefault="00A0225F" w:rsidP="00A0225F">
      <w:pPr>
        <w:pStyle w:val="ListParagraph"/>
        <w:numPr>
          <w:ilvl w:val="0"/>
          <w:numId w:val="8"/>
        </w:numPr>
        <w:rPr>
          <w:lang w:val="es-MX"/>
        </w:rPr>
      </w:pPr>
      <w:r w:rsidRPr="00A0225F">
        <w:rPr>
          <w:lang w:val="es-MX"/>
        </w:rPr>
        <w:t>Mostrar el nivel de madurez, en el desarrollo de software seguro de la organización objetivo, con base a OWASP.</w:t>
      </w:r>
    </w:p>
    <w:p w:rsidR="00A0225F" w:rsidRPr="00A0225F" w:rsidRDefault="00A0225F" w:rsidP="00A0225F">
      <w:pPr>
        <w:pStyle w:val="ListParagraph"/>
        <w:numPr>
          <w:ilvl w:val="0"/>
          <w:numId w:val="8"/>
        </w:numPr>
        <w:rPr>
          <w:lang w:val="es-MX"/>
        </w:rPr>
      </w:pPr>
      <w:r w:rsidRPr="00A0225F">
        <w:rPr>
          <w:lang w:val="es-MX"/>
        </w:rPr>
        <w:t>Implementar técnicas de OWASP, a las aplicaciones web objetivo y a la organización objetivo.</w:t>
      </w:r>
    </w:p>
    <w:p w:rsidR="00A0225F" w:rsidRPr="00A0225F" w:rsidRDefault="00A0225F" w:rsidP="00A0225F">
      <w:pPr>
        <w:pStyle w:val="ListParagraph"/>
        <w:numPr>
          <w:ilvl w:val="0"/>
          <w:numId w:val="8"/>
        </w:numPr>
        <w:rPr>
          <w:lang w:val="es-MX"/>
        </w:rPr>
      </w:pPr>
      <w:r w:rsidRPr="00A0225F">
        <w:rPr>
          <w:lang w:val="es-MX"/>
        </w:rPr>
        <w:t>Una vez que las técnicas OWASP han sido implementados, ejecutar las mismas técnicas y script de ataques a los mismos objetivos.</w:t>
      </w:r>
    </w:p>
    <w:p w:rsidR="00A0225F" w:rsidRPr="00A0225F" w:rsidRDefault="00A0225F" w:rsidP="00A0225F">
      <w:pPr>
        <w:pStyle w:val="ListParagraph"/>
        <w:numPr>
          <w:ilvl w:val="0"/>
          <w:numId w:val="8"/>
        </w:numPr>
        <w:rPr>
          <w:lang w:val="es-MX"/>
        </w:rPr>
      </w:pPr>
      <w:r w:rsidRPr="00A0225F">
        <w:rPr>
          <w:lang w:val="es-MX"/>
        </w:rPr>
        <w:t>Obtener las métricas de riesgo, y el nivel de madurez; para evaluar si el número de vulnerabilidades y su respectivo nivel de riesgo, así como el nivel de madurez de la organización, varió con base al ejercicio inicial.</w:t>
      </w:r>
    </w:p>
    <w:p w:rsidR="00A0225F" w:rsidRPr="00A0225F" w:rsidRDefault="00A0225F" w:rsidP="00A0225F">
      <w:pPr>
        <w:pStyle w:val="ListParagraph"/>
        <w:numPr>
          <w:ilvl w:val="0"/>
          <w:numId w:val="8"/>
        </w:numPr>
        <w:rPr>
          <w:lang w:val="es-MX"/>
        </w:rPr>
      </w:pPr>
      <w:r w:rsidRPr="00A0225F">
        <w:rPr>
          <w:lang w:val="es-MX"/>
        </w:rPr>
        <w:t>Presentar los resultados en conferencias y revistas especializadas.</w:t>
      </w:r>
    </w:p>
    <w:p w:rsidR="00D1390F" w:rsidRDefault="00B70D6C" w:rsidP="00B70D6C">
      <w:pPr>
        <w:pStyle w:val="Heading2"/>
        <w:numPr>
          <w:ilvl w:val="0"/>
          <w:numId w:val="4"/>
        </w:numPr>
        <w:spacing w:before="240"/>
      </w:pPr>
      <w:r>
        <w:t>METODOLOGÍA</w:t>
      </w:r>
    </w:p>
    <w:p w:rsidR="00B70D6C" w:rsidRPr="00D1390F" w:rsidRDefault="00B70D6C" w:rsidP="00D1390F">
      <w:pPr>
        <w:rPr>
          <w:lang w:val="es-MX"/>
        </w:rPr>
      </w:pPr>
      <w:bookmarkStart w:id="0" w:name="_GoBack"/>
      <w:r w:rsidRPr="00D1390F">
        <w:rPr>
          <w:lang w:val="es-MX"/>
        </w:rPr>
        <w:t>El tipo de investigación será Descriptiva</w:t>
      </w:r>
      <w:r w:rsidRPr="00D1390F">
        <w:rPr>
          <w:lang w:val="es-MX"/>
        </w:rPr>
        <w:t xml:space="preserve"> </w:t>
      </w:r>
      <w:sdt>
        <w:sdtPr>
          <w:rPr>
            <w:lang w:val="es-MX"/>
          </w:rPr>
          <w:id w:val="-1139106697"/>
          <w:citation/>
        </w:sdtPr>
        <w:sdtContent>
          <w:r w:rsidRPr="00D1390F">
            <w:rPr>
              <w:lang w:val="es-MX"/>
            </w:rPr>
            <w:fldChar w:fldCharType="begin"/>
          </w:r>
          <w:r w:rsidRPr="00D1390F">
            <w:rPr>
              <w:lang w:val="es-MX"/>
            </w:rPr>
            <w:instrText xml:space="preserve"> CITATION Her91 \l 2058 </w:instrText>
          </w:r>
          <w:r w:rsidRPr="00D1390F">
            <w:rPr>
              <w:lang w:val="es-MX"/>
            </w:rPr>
            <w:fldChar w:fldCharType="separate"/>
          </w:r>
          <w:r w:rsidRPr="00D1390F">
            <w:rPr>
              <w:lang w:val="es-MX"/>
            </w:rPr>
            <w:t>(Hernández Sampieri, Fernández Collado, &amp; Baptista Lucio, 1991)</w:t>
          </w:r>
          <w:r w:rsidRPr="00D1390F">
            <w:rPr>
              <w:lang w:val="es-MX"/>
            </w:rPr>
            <w:fldChar w:fldCharType="end"/>
          </w:r>
        </w:sdtContent>
      </w:sdt>
      <w:r w:rsidRPr="00D1390F">
        <w:rPr>
          <w:lang w:val="es-MX"/>
        </w:rPr>
        <w:t>; ya que trataremos primero de describir e identificar cómo se realizan los ataques de inyección de SQL; posteriormente describir los controles OWASP que se pretenden implementar. Por último, y con base a las variables de investigación, medir la efectividad de los controles OWASP para mitigar los ataques de inyección de SQL.</w:t>
      </w:r>
    </w:p>
    <w:bookmarkEnd w:id="0"/>
    <w:p w:rsidR="00B70D6C" w:rsidRPr="00B70D6C" w:rsidRDefault="00B70D6C" w:rsidP="00B70D6C">
      <w:pPr>
        <w:rPr>
          <w:lang w:val="es-MX"/>
        </w:rPr>
      </w:pPr>
      <w:r w:rsidRPr="00B70D6C">
        <w:rPr>
          <w:lang w:val="es-MX"/>
        </w:rPr>
        <w:t>Por otro lado, el diseño del experimento será cuasi experimental</w:t>
      </w:r>
      <w:r>
        <w:rPr>
          <w:lang w:val="es-MX"/>
        </w:rPr>
        <w:t xml:space="preserve"> </w:t>
      </w:r>
      <w:sdt>
        <w:sdtPr>
          <w:rPr>
            <w:lang w:val="es-MX"/>
          </w:rPr>
          <w:id w:val="-429433185"/>
          <w:citation/>
        </w:sdtPr>
        <w:sdtContent>
          <w:r>
            <w:rPr>
              <w:lang w:val="es-MX"/>
            </w:rPr>
            <w:fldChar w:fldCharType="begin"/>
          </w:r>
          <w:r>
            <w:rPr>
              <w:lang w:val="es-MX"/>
            </w:rPr>
            <w:instrText xml:space="preserve"> CITATION Her91 \l 2058 </w:instrText>
          </w:r>
          <w:r>
            <w:rPr>
              <w:lang w:val="es-MX"/>
            </w:rPr>
            <w:fldChar w:fldCharType="separate"/>
          </w:r>
          <w:r>
            <w:rPr>
              <w:noProof/>
              <w:lang w:val="es-MX"/>
            </w:rPr>
            <w:t>(Hernández Sampieri, Fernández Collado, &amp; Baptista Lucio, 1991)</w:t>
          </w:r>
          <w:r>
            <w:rPr>
              <w:lang w:val="es-MX"/>
            </w:rPr>
            <w:fldChar w:fldCharType="end"/>
          </w:r>
        </w:sdtContent>
      </w:sdt>
      <w:r w:rsidRPr="00B70D6C">
        <w:rPr>
          <w:lang w:val="es-MX"/>
        </w:rPr>
        <w:t>; lo anterior debido a que no nos será posible tener una aplicación web con la misma arquitectura que otra, y tal vez las tecnologías utilizadas para el desarrollo de las aplicaciones, así como la infraestructura en la que se encuentran, será diferente. Del mismo modo, ninguna organización es igual a otra</w:t>
      </w:r>
      <w:r>
        <w:rPr>
          <w:lang w:val="es-MX"/>
        </w:rPr>
        <w:t>,</w:t>
      </w:r>
      <w:r w:rsidRPr="00B70D6C">
        <w:rPr>
          <w:lang w:val="es-MX"/>
        </w:rPr>
        <w:t xml:space="preserve"> aun estando dentro de una misma industria.</w:t>
      </w:r>
    </w:p>
    <w:p w:rsidR="00B70D6C" w:rsidRPr="00B70D6C" w:rsidRDefault="00B70D6C" w:rsidP="00B70D6C">
      <w:pPr>
        <w:rPr>
          <w:lang w:val="es-MX"/>
        </w:rPr>
      </w:pPr>
      <w:r w:rsidRPr="00B70D6C">
        <w:rPr>
          <w:lang w:val="es-MX"/>
        </w:rPr>
        <w:t xml:space="preserve">El diseño del experimento será de </w:t>
      </w:r>
      <w:proofErr w:type="spellStart"/>
      <w:r w:rsidRPr="00B70D6C">
        <w:rPr>
          <w:lang w:val="es-MX"/>
        </w:rPr>
        <w:t>preprueba-postprueba</w:t>
      </w:r>
      <w:proofErr w:type="spellEnd"/>
      <w:r w:rsidRPr="00B70D6C">
        <w:rPr>
          <w:lang w:val="es-MX"/>
        </w:rPr>
        <w:t xml:space="preserve"> y grupos intactos</w:t>
      </w:r>
      <w:r>
        <w:rPr>
          <w:lang w:val="es-MX"/>
        </w:rPr>
        <w:t xml:space="preserve"> </w:t>
      </w:r>
      <w:sdt>
        <w:sdtPr>
          <w:rPr>
            <w:lang w:val="es-MX"/>
          </w:rPr>
          <w:id w:val="1188555309"/>
          <w:citation/>
        </w:sdtPr>
        <w:sdtContent>
          <w:r>
            <w:rPr>
              <w:lang w:val="es-MX"/>
            </w:rPr>
            <w:fldChar w:fldCharType="begin"/>
          </w:r>
          <w:r>
            <w:rPr>
              <w:lang w:val="es-MX"/>
            </w:rPr>
            <w:instrText xml:space="preserve"> CITATION Her91 \l 2058 </w:instrText>
          </w:r>
          <w:r>
            <w:rPr>
              <w:lang w:val="es-MX"/>
            </w:rPr>
            <w:fldChar w:fldCharType="separate"/>
          </w:r>
          <w:r>
            <w:rPr>
              <w:noProof/>
              <w:lang w:val="es-MX"/>
            </w:rPr>
            <w:t>(Hernández Sampieri, Fernández Collado, &amp; Baptista Lucio, 1991)</w:t>
          </w:r>
          <w:r>
            <w:rPr>
              <w:lang w:val="es-MX"/>
            </w:rPr>
            <w:fldChar w:fldCharType="end"/>
          </w:r>
        </w:sdtContent>
      </w:sdt>
      <w:r w:rsidRPr="00B70D6C">
        <w:rPr>
          <w:lang w:val="es-MX"/>
        </w:rPr>
        <w:t xml:space="preserve">. Éste diseño es el que más se apega a la validación de las hipótesis planteadas; ya que nos permitirá hacer las pruebas de penetración a las aplicaciones objetivo, y a evaluar el nivel de madurez de la organización, antes de la aplicación de técnicas OWASP; obtener resultados, ejecutar de </w:t>
      </w:r>
      <w:r w:rsidRPr="00B70D6C">
        <w:rPr>
          <w:lang w:val="es-MX"/>
        </w:rPr>
        <w:lastRenderedPageBreak/>
        <w:t xml:space="preserve">nuevo las pruebas de penetración, evaluar de nuevo el nivel de madurez de la organización, y de ésta manera comparar los resultados obtenidos antes y después de la implementación de técnicas OWASP. </w:t>
      </w:r>
    </w:p>
    <w:p w:rsidR="00B70D6C" w:rsidRPr="00B70D6C" w:rsidRDefault="00B70D6C" w:rsidP="00B70D6C">
      <w:pPr>
        <w:rPr>
          <w:lang w:val="es-MX"/>
        </w:rPr>
      </w:pPr>
      <w:r w:rsidRPr="00B70D6C">
        <w:rPr>
          <w:lang w:val="es-MX"/>
        </w:rPr>
        <w:t>Desde el punto de vista técnico, estaremos realizando las evaluaciones de las vulnerabilidades de inyección de SQL con base al nivel cuatro de evaluación de</w:t>
      </w:r>
      <w:r>
        <w:rPr>
          <w:lang w:val="es-MX"/>
        </w:rPr>
        <w:t xml:space="preserve"> </w:t>
      </w:r>
      <w:sdt>
        <w:sdtPr>
          <w:rPr>
            <w:lang w:val="es-MX"/>
          </w:rPr>
          <w:id w:val="1041713618"/>
          <w:citation/>
        </w:sdtPr>
        <w:sdtContent>
          <w:r>
            <w:rPr>
              <w:lang w:val="es-MX"/>
            </w:rPr>
            <w:fldChar w:fldCharType="begin"/>
          </w:r>
          <w:r>
            <w:rPr>
              <w:lang w:val="es-MX"/>
            </w:rPr>
            <w:instrText xml:space="preserve"> CITATION Bob09 \l 2058 </w:instrText>
          </w:r>
          <w:r>
            <w:rPr>
              <w:lang w:val="es-MX"/>
            </w:rPr>
            <w:fldChar w:fldCharType="separate"/>
          </w:r>
          <w:r>
            <w:rPr>
              <w:noProof/>
              <w:lang w:val="es-MX"/>
            </w:rPr>
            <w:t>(OWASP, 2009)</w:t>
          </w:r>
          <w:r>
            <w:rPr>
              <w:lang w:val="es-MX"/>
            </w:rPr>
            <w:fldChar w:fldCharType="end"/>
          </w:r>
        </w:sdtContent>
      </w:sdt>
      <w:r w:rsidRPr="00B70D6C">
        <w:rPr>
          <w:lang w:val="es-MX"/>
        </w:rPr>
        <w:t xml:space="preserve">, cuyo alcance es todo el código que fue modificado o desarrollado para crear la aplicación incluyendo librerías y servicios invocados; en términos de la aplicación web, esto implica evaluar toda la aplicación. </w:t>
      </w:r>
    </w:p>
    <w:p w:rsidR="00B70D6C" w:rsidRPr="00B70D6C" w:rsidRDefault="00B70D6C" w:rsidP="00B70D6C">
      <w:pPr>
        <w:rPr>
          <w:lang w:val="es-MX"/>
        </w:rPr>
      </w:pPr>
      <w:r w:rsidRPr="00B70D6C">
        <w:rPr>
          <w:lang w:val="es-MX"/>
        </w:rPr>
        <w:t xml:space="preserve">Los requerimientos de verificación los estaremos acotando al nivel V5 (Input </w:t>
      </w:r>
      <w:proofErr w:type="spellStart"/>
      <w:r w:rsidRPr="00B70D6C">
        <w:rPr>
          <w:lang w:val="es-MX"/>
        </w:rPr>
        <w:t>Validation</w:t>
      </w:r>
      <w:proofErr w:type="spellEnd"/>
      <w:r w:rsidRPr="00B70D6C">
        <w:rPr>
          <w:lang w:val="es-MX"/>
        </w:rPr>
        <w:t xml:space="preserve"> </w:t>
      </w:r>
      <w:proofErr w:type="spellStart"/>
      <w:r w:rsidRPr="00B70D6C">
        <w:rPr>
          <w:lang w:val="es-MX"/>
        </w:rPr>
        <w:t>Verification</w:t>
      </w:r>
      <w:proofErr w:type="spellEnd"/>
      <w:r w:rsidRPr="00B70D6C">
        <w:rPr>
          <w:lang w:val="es-MX"/>
        </w:rPr>
        <w:t xml:space="preserve"> </w:t>
      </w:r>
      <w:proofErr w:type="spellStart"/>
      <w:r w:rsidRPr="00B70D6C">
        <w:rPr>
          <w:lang w:val="es-MX"/>
        </w:rPr>
        <w:t>Requirements</w:t>
      </w:r>
      <w:proofErr w:type="spellEnd"/>
      <w:r w:rsidRPr="00B70D6C">
        <w:rPr>
          <w:lang w:val="es-MX"/>
        </w:rPr>
        <w:t>) ya que es el que se apega a la verificación de inyección de SQL; los puntos de verificación V5 correspondientes a un nivel de evaluación cuatro se detallan en la siguiente tabla  (OWASP, 2009):</w:t>
      </w:r>
    </w:p>
    <w:p w:rsidR="00B70D6C" w:rsidRPr="00B70D6C" w:rsidRDefault="00B70D6C" w:rsidP="00B70D6C">
      <w:pPr>
        <w:pStyle w:val="Caption"/>
        <w:keepNext/>
        <w:rPr>
          <w:lang w:val="es-MX"/>
        </w:rPr>
      </w:pPr>
      <w:r w:rsidRPr="00B70D6C">
        <w:rPr>
          <w:lang w:val="es-MX"/>
        </w:rPr>
        <w:t xml:space="preserve">Tabla </w:t>
      </w:r>
      <w:r>
        <w:fldChar w:fldCharType="begin"/>
      </w:r>
      <w:r w:rsidRPr="00B70D6C">
        <w:rPr>
          <w:lang w:val="es-MX"/>
        </w:rPr>
        <w:instrText xml:space="preserve"> SEQ Tabla \* ARABIC </w:instrText>
      </w:r>
      <w:r>
        <w:fldChar w:fldCharType="separate"/>
      </w:r>
      <w:r w:rsidRPr="00B70D6C">
        <w:rPr>
          <w:noProof/>
          <w:lang w:val="es-MX"/>
        </w:rPr>
        <w:t>1</w:t>
      </w:r>
      <w:r>
        <w:fldChar w:fldCharType="end"/>
      </w:r>
      <w:r w:rsidRPr="00B70D6C">
        <w:rPr>
          <w:lang w:val="es-MX"/>
        </w:rPr>
        <w:t xml:space="preserve"> OWASP ASVS Requerimientos</w:t>
      </w:r>
      <w:r>
        <w:rPr>
          <w:lang w:val="es-MX"/>
        </w:rPr>
        <w:t xml:space="preserve"> de Validación de Captura (V5) </w:t>
      </w:r>
      <w:sdt>
        <w:sdtPr>
          <w:rPr>
            <w:lang w:val="es-MX"/>
          </w:rPr>
          <w:id w:val="299889370"/>
          <w:citation/>
        </w:sdtPr>
        <w:sdtContent>
          <w:r w:rsidR="00D85491">
            <w:rPr>
              <w:lang w:val="es-MX"/>
            </w:rPr>
            <w:fldChar w:fldCharType="begin"/>
          </w:r>
          <w:r w:rsidR="00D85491">
            <w:rPr>
              <w:lang w:val="es-MX"/>
            </w:rPr>
            <w:instrText xml:space="preserve"> CITATION Bob09 \l 2058 </w:instrText>
          </w:r>
          <w:r w:rsidR="00D85491">
            <w:rPr>
              <w:lang w:val="es-MX"/>
            </w:rPr>
            <w:fldChar w:fldCharType="separate"/>
          </w:r>
          <w:r w:rsidR="00D85491">
            <w:rPr>
              <w:noProof/>
              <w:lang w:val="es-MX"/>
            </w:rPr>
            <w:t>(OWASP, 2009)</w:t>
          </w:r>
          <w:r w:rsidR="00D85491">
            <w:rPr>
              <w:lang w:val="es-MX"/>
            </w:rPr>
            <w:fldChar w:fldCharType="end"/>
          </w:r>
        </w:sdtContent>
      </w:sdt>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972"/>
        <w:gridCol w:w="553"/>
        <w:gridCol w:w="553"/>
        <w:gridCol w:w="553"/>
        <w:gridCol w:w="553"/>
        <w:gridCol w:w="553"/>
        <w:gridCol w:w="553"/>
      </w:tblGrid>
      <w:tr w:rsidR="00B70D6C" w:rsidRPr="00B70D6C" w:rsidTr="00B70D6C">
        <w:trPr>
          <w:cantSplit/>
          <w:trHeight w:val="1134"/>
        </w:trPr>
        <w:tc>
          <w:tcPr>
            <w:tcW w:w="1972" w:type="dxa"/>
            <w:shd w:val="clear" w:color="auto" w:fill="5E728A"/>
            <w:vAlign w:val="center"/>
          </w:tcPr>
          <w:p w:rsidR="00B70D6C" w:rsidRPr="00B70D6C" w:rsidRDefault="00B70D6C" w:rsidP="00BA567B">
            <w:pPr>
              <w:pStyle w:val="ASVSBodyStyle"/>
              <w:jc w:val="center"/>
              <w:rPr>
                <w:rFonts w:asciiTheme="minorHAnsi" w:hAnsiTheme="minorHAnsi" w:cstheme="minorHAnsi"/>
                <w:b/>
                <w:color w:val="FFFFFF"/>
                <w:sz w:val="10"/>
              </w:rPr>
            </w:pPr>
            <w:r w:rsidRPr="00B70D6C">
              <w:rPr>
                <w:rFonts w:asciiTheme="minorHAnsi" w:hAnsiTheme="minorHAnsi" w:cstheme="minorHAnsi"/>
                <w:b/>
                <w:color w:val="FFFFFF"/>
                <w:sz w:val="10"/>
              </w:rPr>
              <w:t>Verification Requirement</w:t>
            </w:r>
          </w:p>
        </w:tc>
        <w:tc>
          <w:tcPr>
            <w:tcW w:w="553" w:type="dxa"/>
            <w:shd w:val="clear" w:color="auto" w:fill="5E728A"/>
            <w:textDirection w:val="btLr"/>
            <w:vAlign w:val="center"/>
          </w:tcPr>
          <w:p w:rsidR="00B70D6C" w:rsidRPr="00B70D6C" w:rsidRDefault="00B70D6C" w:rsidP="00BA567B">
            <w:pPr>
              <w:pStyle w:val="ASVSBodyStyle"/>
              <w:jc w:val="center"/>
              <w:rPr>
                <w:rFonts w:asciiTheme="minorHAnsi" w:hAnsiTheme="minorHAnsi" w:cstheme="minorHAnsi"/>
                <w:b/>
                <w:color w:val="FFFFFF"/>
                <w:sz w:val="10"/>
              </w:rPr>
            </w:pPr>
            <w:r w:rsidRPr="00B70D6C">
              <w:rPr>
                <w:rFonts w:asciiTheme="minorHAnsi" w:hAnsiTheme="minorHAnsi" w:cstheme="minorHAnsi"/>
                <w:b/>
                <w:color w:val="FFFFFF"/>
                <w:sz w:val="10"/>
              </w:rPr>
              <w:t>Level 1A</w:t>
            </w:r>
          </w:p>
        </w:tc>
        <w:tc>
          <w:tcPr>
            <w:tcW w:w="553" w:type="dxa"/>
            <w:shd w:val="clear" w:color="auto" w:fill="5E728A"/>
            <w:textDirection w:val="btLr"/>
            <w:vAlign w:val="center"/>
          </w:tcPr>
          <w:p w:rsidR="00B70D6C" w:rsidRPr="00B70D6C" w:rsidRDefault="00B70D6C" w:rsidP="00BA567B">
            <w:pPr>
              <w:pStyle w:val="ASVSBodyStyle"/>
              <w:jc w:val="center"/>
              <w:rPr>
                <w:rFonts w:asciiTheme="minorHAnsi" w:hAnsiTheme="minorHAnsi" w:cstheme="minorHAnsi"/>
                <w:b/>
                <w:color w:val="FFFFFF"/>
                <w:sz w:val="10"/>
              </w:rPr>
            </w:pPr>
            <w:r w:rsidRPr="00B70D6C">
              <w:rPr>
                <w:rFonts w:asciiTheme="minorHAnsi" w:hAnsiTheme="minorHAnsi" w:cstheme="minorHAnsi"/>
                <w:b/>
                <w:color w:val="FFFFFF"/>
                <w:sz w:val="10"/>
              </w:rPr>
              <w:t>Level 1B</w:t>
            </w:r>
          </w:p>
        </w:tc>
        <w:tc>
          <w:tcPr>
            <w:tcW w:w="553" w:type="dxa"/>
            <w:shd w:val="clear" w:color="auto" w:fill="5E728A"/>
            <w:textDirection w:val="btLr"/>
            <w:vAlign w:val="center"/>
          </w:tcPr>
          <w:p w:rsidR="00B70D6C" w:rsidRPr="00B70D6C" w:rsidRDefault="00B70D6C" w:rsidP="00BA567B">
            <w:pPr>
              <w:pStyle w:val="ASVSBodyStyle"/>
              <w:jc w:val="center"/>
              <w:rPr>
                <w:rFonts w:asciiTheme="minorHAnsi" w:hAnsiTheme="minorHAnsi" w:cstheme="minorHAnsi"/>
                <w:b/>
                <w:color w:val="FFFFFF"/>
                <w:sz w:val="10"/>
              </w:rPr>
            </w:pPr>
            <w:r w:rsidRPr="00B70D6C">
              <w:rPr>
                <w:rFonts w:asciiTheme="minorHAnsi" w:hAnsiTheme="minorHAnsi" w:cstheme="minorHAnsi"/>
                <w:b/>
                <w:color w:val="FFFFFF"/>
                <w:sz w:val="10"/>
              </w:rPr>
              <w:t>Level 2A</w:t>
            </w:r>
          </w:p>
        </w:tc>
        <w:tc>
          <w:tcPr>
            <w:tcW w:w="553" w:type="dxa"/>
            <w:shd w:val="clear" w:color="auto" w:fill="5E728A"/>
            <w:textDirection w:val="btLr"/>
            <w:vAlign w:val="center"/>
          </w:tcPr>
          <w:p w:rsidR="00B70D6C" w:rsidRPr="00B70D6C" w:rsidRDefault="00B70D6C" w:rsidP="00BA567B">
            <w:pPr>
              <w:pStyle w:val="ASVSBodyStyle"/>
              <w:jc w:val="center"/>
              <w:rPr>
                <w:rFonts w:asciiTheme="minorHAnsi" w:hAnsiTheme="minorHAnsi" w:cstheme="minorHAnsi"/>
                <w:b/>
                <w:color w:val="FFFFFF"/>
                <w:sz w:val="10"/>
              </w:rPr>
            </w:pPr>
            <w:r w:rsidRPr="00B70D6C">
              <w:rPr>
                <w:rFonts w:asciiTheme="minorHAnsi" w:hAnsiTheme="minorHAnsi" w:cstheme="minorHAnsi"/>
                <w:b/>
                <w:color w:val="FFFFFF"/>
                <w:sz w:val="10"/>
              </w:rPr>
              <w:t>Level 2B</w:t>
            </w:r>
          </w:p>
        </w:tc>
        <w:tc>
          <w:tcPr>
            <w:tcW w:w="553" w:type="dxa"/>
            <w:shd w:val="clear" w:color="auto" w:fill="5E728A"/>
            <w:textDirection w:val="btLr"/>
            <w:vAlign w:val="center"/>
          </w:tcPr>
          <w:p w:rsidR="00B70D6C" w:rsidRPr="00B70D6C" w:rsidRDefault="00B70D6C" w:rsidP="00BA567B">
            <w:pPr>
              <w:pStyle w:val="ASVSBodyStyle"/>
              <w:jc w:val="center"/>
              <w:rPr>
                <w:rFonts w:asciiTheme="minorHAnsi" w:hAnsiTheme="minorHAnsi" w:cstheme="minorHAnsi"/>
                <w:b/>
                <w:color w:val="FFFFFF"/>
                <w:sz w:val="10"/>
              </w:rPr>
            </w:pPr>
            <w:r w:rsidRPr="00B70D6C">
              <w:rPr>
                <w:rFonts w:asciiTheme="minorHAnsi" w:hAnsiTheme="minorHAnsi" w:cstheme="minorHAnsi"/>
                <w:b/>
                <w:color w:val="FFFFFF"/>
                <w:sz w:val="10"/>
              </w:rPr>
              <w:t>Level 3</w:t>
            </w:r>
          </w:p>
        </w:tc>
        <w:tc>
          <w:tcPr>
            <w:tcW w:w="553" w:type="dxa"/>
            <w:shd w:val="clear" w:color="auto" w:fill="5E728A"/>
            <w:textDirection w:val="btLr"/>
            <w:vAlign w:val="center"/>
          </w:tcPr>
          <w:p w:rsidR="00B70D6C" w:rsidRPr="00B70D6C" w:rsidRDefault="00B70D6C" w:rsidP="00BA567B">
            <w:pPr>
              <w:pStyle w:val="ASVSBodyStyle"/>
              <w:jc w:val="center"/>
              <w:rPr>
                <w:rFonts w:asciiTheme="minorHAnsi" w:hAnsiTheme="minorHAnsi" w:cstheme="minorHAnsi"/>
                <w:b/>
                <w:color w:val="FFFFFF"/>
                <w:sz w:val="10"/>
              </w:rPr>
            </w:pPr>
            <w:r w:rsidRPr="00B70D6C">
              <w:rPr>
                <w:rFonts w:asciiTheme="minorHAnsi" w:hAnsiTheme="minorHAnsi" w:cstheme="minorHAnsi"/>
                <w:b/>
                <w:color w:val="FFFFFF"/>
                <w:sz w:val="10"/>
              </w:rPr>
              <w:t>Level 4</w:t>
            </w:r>
          </w:p>
        </w:tc>
      </w:tr>
      <w:tr w:rsidR="00B70D6C" w:rsidRPr="00B70D6C" w:rsidTr="00B70D6C">
        <w:trPr>
          <w:cantSplit/>
        </w:trPr>
        <w:tc>
          <w:tcPr>
            <w:tcW w:w="1972" w:type="dxa"/>
            <w:shd w:val="clear" w:color="auto" w:fill="C97575"/>
          </w:tcPr>
          <w:p w:rsidR="00B70D6C" w:rsidRPr="00B70D6C" w:rsidRDefault="00B70D6C" w:rsidP="00BA567B">
            <w:pPr>
              <w:pStyle w:val="ASVSBodyStyle"/>
              <w:numPr>
                <w:ilvl w:val="0"/>
                <w:numId w:val="9"/>
              </w:numPr>
              <w:spacing w:after="60"/>
              <w:rPr>
                <w:rFonts w:asciiTheme="minorHAnsi" w:hAnsiTheme="minorHAnsi" w:cstheme="minorHAnsi"/>
                <w:sz w:val="10"/>
              </w:rPr>
            </w:pPr>
            <w:r w:rsidRPr="00B70D6C">
              <w:rPr>
                <w:rFonts w:asciiTheme="minorHAnsi" w:hAnsiTheme="minorHAnsi" w:cstheme="minorHAnsi"/>
                <w:sz w:val="10"/>
              </w:rPr>
              <w:tab/>
              <w:t xml:space="preserve">Verify that the runtime environment is not susceptible to buffer overflows, or that security controls prevent buffer overflows. </w:t>
            </w:r>
          </w:p>
        </w:tc>
        <w:tc>
          <w:tcPr>
            <w:tcW w:w="553" w:type="dxa"/>
            <w:tcBorders>
              <w:bottom w:val="single" w:sz="18" w:space="0" w:color="FFFFFF"/>
            </w:tcBorders>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r>
      <w:tr w:rsidR="00B70D6C" w:rsidRPr="00B70D6C" w:rsidTr="00B70D6C">
        <w:trPr>
          <w:cantSplit/>
        </w:trPr>
        <w:tc>
          <w:tcPr>
            <w:tcW w:w="1972" w:type="dxa"/>
            <w:shd w:val="clear" w:color="auto" w:fill="C97575"/>
          </w:tcPr>
          <w:p w:rsidR="00B70D6C" w:rsidRPr="00B70D6C" w:rsidRDefault="00B70D6C" w:rsidP="00BA567B">
            <w:pPr>
              <w:pStyle w:val="ASVSBodyStyle"/>
              <w:numPr>
                <w:ilvl w:val="0"/>
                <w:numId w:val="9"/>
              </w:numPr>
              <w:spacing w:after="60"/>
              <w:rPr>
                <w:rFonts w:asciiTheme="minorHAnsi" w:hAnsiTheme="minorHAnsi" w:cstheme="minorHAnsi"/>
                <w:sz w:val="10"/>
              </w:rPr>
            </w:pPr>
            <w:r w:rsidRPr="00B70D6C">
              <w:rPr>
                <w:rFonts w:asciiTheme="minorHAnsi" w:hAnsiTheme="minorHAnsi" w:cstheme="minorHAnsi"/>
                <w:sz w:val="10"/>
              </w:rPr>
              <w:tab/>
              <w:t>Verify that a positive validation pattern is defined and applied to all input.</w:t>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r>
      <w:tr w:rsidR="00B70D6C" w:rsidRPr="00B70D6C" w:rsidTr="00B70D6C">
        <w:trPr>
          <w:cantSplit/>
        </w:trPr>
        <w:tc>
          <w:tcPr>
            <w:tcW w:w="1972" w:type="dxa"/>
            <w:shd w:val="clear" w:color="auto" w:fill="C97575"/>
          </w:tcPr>
          <w:p w:rsidR="00B70D6C" w:rsidRPr="00B70D6C" w:rsidRDefault="00B70D6C" w:rsidP="00BA567B">
            <w:pPr>
              <w:pStyle w:val="ASVSBodyStyle"/>
              <w:numPr>
                <w:ilvl w:val="0"/>
                <w:numId w:val="9"/>
              </w:numPr>
              <w:spacing w:after="60"/>
              <w:rPr>
                <w:rFonts w:asciiTheme="minorHAnsi" w:hAnsiTheme="minorHAnsi" w:cstheme="minorHAnsi"/>
                <w:sz w:val="10"/>
              </w:rPr>
            </w:pPr>
            <w:r w:rsidRPr="00B70D6C">
              <w:rPr>
                <w:rFonts w:asciiTheme="minorHAnsi" w:hAnsiTheme="minorHAnsi" w:cstheme="minorHAnsi"/>
                <w:sz w:val="10"/>
              </w:rPr>
              <w:tab/>
              <w:t>Verify that all input validation failures result in input rejection or input sanitization.</w:t>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CCCCCC"/>
            <w:vAlign w:val="center"/>
          </w:tcPr>
          <w:p w:rsidR="00B70D6C" w:rsidRPr="00B70D6C" w:rsidRDefault="00B70D6C" w:rsidP="00BA567B">
            <w:pPr>
              <w:pStyle w:val="ASVSBodyStyle"/>
              <w:jc w:val="center"/>
              <w:rPr>
                <w:rFonts w:asciiTheme="minorHAnsi" w:hAnsiTheme="minorHAnsi" w:cstheme="minorHAnsi"/>
                <w:sz w:val="10"/>
              </w:rPr>
            </w:pP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r>
      <w:tr w:rsidR="00B70D6C" w:rsidRPr="00B70D6C" w:rsidTr="00B70D6C">
        <w:trPr>
          <w:cantSplit/>
        </w:trPr>
        <w:tc>
          <w:tcPr>
            <w:tcW w:w="1972" w:type="dxa"/>
            <w:shd w:val="clear" w:color="auto" w:fill="C97575"/>
          </w:tcPr>
          <w:p w:rsidR="00B70D6C" w:rsidRPr="00B70D6C" w:rsidRDefault="00B70D6C" w:rsidP="00BA567B">
            <w:pPr>
              <w:pStyle w:val="ASVSBodyStyle"/>
              <w:numPr>
                <w:ilvl w:val="0"/>
                <w:numId w:val="9"/>
              </w:numPr>
              <w:spacing w:after="60"/>
              <w:rPr>
                <w:rFonts w:asciiTheme="minorHAnsi" w:hAnsiTheme="minorHAnsi" w:cstheme="minorHAnsi"/>
                <w:sz w:val="10"/>
              </w:rPr>
            </w:pPr>
            <w:r w:rsidRPr="00B70D6C">
              <w:rPr>
                <w:rFonts w:asciiTheme="minorHAnsi" w:hAnsiTheme="minorHAnsi" w:cstheme="minorHAnsi"/>
                <w:sz w:val="10"/>
              </w:rPr>
              <w:tab/>
              <w:t>Verify that a character set, such as UTF-8, is specified for all sources of input.</w:t>
            </w:r>
          </w:p>
        </w:tc>
        <w:tc>
          <w:tcPr>
            <w:tcW w:w="553" w:type="dxa"/>
            <w:shd w:val="clear" w:color="auto" w:fill="CCCCCC"/>
            <w:vAlign w:val="center"/>
          </w:tcPr>
          <w:p w:rsidR="00B70D6C" w:rsidRPr="00B70D6C" w:rsidRDefault="00B70D6C" w:rsidP="00BA567B">
            <w:pPr>
              <w:pStyle w:val="ASVSBodyStyle"/>
              <w:jc w:val="center"/>
              <w:rPr>
                <w:rFonts w:asciiTheme="minorHAnsi" w:hAnsiTheme="minorHAnsi" w:cstheme="minorHAnsi"/>
                <w:sz w:val="10"/>
              </w:rPr>
            </w:pPr>
          </w:p>
        </w:tc>
        <w:tc>
          <w:tcPr>
            <w:tcW w:w="553" w:type="dxa"/>
            <w:shd w:val="clear" w:color="auto" w:fill="CCCCCC"/>
            <w:vAlign w:val="center"/>
          </w:tcPr>
          <w:p w:rsidR="00B70D6C" w:rsidRPr="00B70D6C" w:rsidRDefault="00B70D6C" w:rsidP="00BA567B">
            <w:pPr>
              <w:pStyle w:val="ASVSBodyStyle"/>
              <w:jc w:val="center"/>
              <w:rPr>
                <w:rFonts w:asciiTheme="minorHAnsi" w:hAnsiTheme="minorHAnsi" w:cstheme="minorHAnsi"/>
                <w:sz w:val="10"/>
              </w:rPr>
            </w:pP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r>
      <w:tr w:rsidR="00B70D6C" w:rsidRPr="00B70D6C" w:rsidTr="00B70D6C">
        <w:trPr>
          <w:cantSplit/>
        </w:trPr>
        <w:tc>
          <w:tcPr>
            <w:tcW w:w="1972" w:type="dxa"/>
            <w:shd w:val="clear" w:color="auto" w:fill="C97575"/>
          </w:tcPr>
          <w:p w:rsidR="00B70D6C" w:rsidRPr="00B70D6C" w:rsidRDefault="00B70D6C" w:rsidP="00BA567B">
            <w:pPr>
              <w:pStyle w:val="ASVSBodyStyle"/>
              <w:numPr>
                <w:ilvl w:val="0"/>
                <w:numId w:val="9"/>
              </w:numPr>
              <w:spacing w:after="60"/>
              <w:rPr>
                <w:rFonts w:asciiTheme="minorHAnsi" w:hAnsiTheme="minorHAnsi" w:cstheme="minorHAnsi"/>
                <w:sz w:val="10"/>
              </w:rPr>
            </w:pPr>
            <w:r w:rsidRPr="00B70D6C">
              <w:rPr>
                <w:rFonts w:asciiTheme="minorHAnsi" w:hAnsiTheme="minorHAnsi" w:cstheme="minorHAnsi"/>
                <w:sz w:val="10"/>
              </w:rPr>
              <w:tab/>
              <w:t>Verify that all input validation is performed on the server side.</w:t>
            </w:r>
          </w:p>
        </w:tc>
        <w:tc>
          <w:tcPr>
            <w:tcW w:w="553" w:type="dxa"/>
            <w:shd w:val="clear" w:color="auto" w:fill="CCCCCC"/>
            <w:vAlign w:val="center"/>
          </w:tcPr>
          <w:p w:rsidR="00B70D6C" w:rsidRPr="00B70D6C" w:rsidRDefault="00B70D6C" w:rsidP="00BA567B">
            <w:pPr>
              <w:pStyle w:val="ASVSBodyStyle"/>
              <w:jc w:val="center"/>
              <w:rPr>
                <w:rFonts w:asciiTheme="minorHAnsi" w:hAnsiTheme="minorHAnsi" w:cstheme="minorHAnsi"/>
                <w:sz w:val="10"/>
              </w:rPr>
            </w:pPr>
          </w:p>
        </w:tc>
        <w:tc>
          <w:tcPr>
            <w:tcW w:w="553" w:type="dxa"/>
            <w:shd w:val="clear" w:color="auto" w:fill="CCCCCC"/>
            <w:vAlign w:val="center"/>
          </w:tcPr>
          <w:p w:rsidR="00B70D6C" w:rsidRPr="00B70D6C" w:rsidRDefault="00B70D6C" w:rsidP="00BA567B">
            <w:pPr>
              <w:pStyle w:val="ASVSBodyStyle"/>
              <w:jc w:val="center"/>
              <w:rPr>
                <w:rFonts w:asciiTheme="minorHAnsi" w:hAnsiTheme="minorHAnsi" w:cstheme="minorHAnsi"/>
                <w:sz w:val="10"/>
              </w:rPr>
            </w:pP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r>
      <w:tr w:rsidR="00B70D6C" w:rsidRPr="00B70D6C" w:rsidTr="00B70D6C">
        <w:trPr>
          <w:cantSplit/>
        </w:trPr>
        <w:tc>
          <w:tcPr>
            <w:tcW w:w="1972" w:type="dxa"/>
            <w:shd w:val="clear" w:color="auto" w:fill="C97575"/>
          </w:tcPr>
          <w:p w:rsidR="00B70D6C" w:rsidRPr="00B70D6C" w:rsidRDefault="00B70D6C" w:rsidP="00BA567B">
            <w:pPr>
              <w:pStyle w:val="ASVSBodyStyle"/>
              <w:numPr>
                <w:ilvl w:val="0"/>
                <w:numId w:val="9"/>
              </w:numPr>
              <w:spacing w:after="60"/>
              <w:rPr>
                <w:rFonts w:asciiTheme="minorHAnsi" w:hAnsiTheme="minorHAnsi" w:cstheme="minorHAnsi"/>
                <w:sz w:val="10"/>
              </w:rPr>
            </w:pPr>
            <w:r w:rsidRPr="00B70D6C">
              <w:rPr>
                <w:rFonts w:asciiTheme="minorHAnsi" w:hAnsiTheme="minorHAnsi" w:cstheme="minorHAnsi"/>
                <w:sz w:val="10"/>
              </w:rPr>
              <w:tab/>
              <w:t>Verify that a single input validation control is used by the application for each type of data that is accepted.</w:t>
            </w:r>
          </w:p>
        </w:tc>
        <w:tc>
          <w:tcPr>
            <w:tcW w:w="553" w:type="dxa"/>
            <w:shd w:val="clear" w:color="auto" w:fill="CCCCCC"/>
            <w:vAlign w:val="center"/>
          </w:tcPr>
          <w:p w:rsidR="00B70D6C" w:rsidRPr="00B70D6C" w:rsidRDefault="00B70D6C" w:rsidP="00BA567B">
            <w:pPr>
              <w:pStyle w:val="ASVSBodyStyle"/>
              <w:jc w:val="center"/>
              <w:rPr>
                <w:rFonts w:asciiTheme="minorHAnsi" w:hAnsiTheme="minorHAnsi" w:cstheme="minorHAnsi"/>
                <w:sz w:val="10"/>
              </w:rPr>
            </w:pPr>
          </w:p>
        </w:tc>
        <w:tc>
          <w:tcPr>
            <w:tcW w:w="553" w:type="dxa"/>
            <w:shd w:val="clear" w:color="auto" w:fill="CCCCCC"/>
            <w:vAlign w:val="center"/>
          </w:tcPr>
          <w:p w:rsidR="00B70D6C" w:rsidRPr="00B70D6C" w:rsidRDefault="00B70D6C" w:rsidP="00BA567B">
            <w:pPr>
              <w:pStyle w:val="ASVSBodyStyle"/>
              <w:jc w:val="center"/>
              <w:rPr>
                <w:rFonts w:asciiTheme="minorHAnsi" w:hAnsiTheme="minorHAnsi" w:cstheme="minorHAnsi"/>
                <w:sz w:val="10"/>
              </w:rPr>
            </w:pPr>
          </w:p>
        </w:tc>
        <w:tc>
          <w:tcPr>
            <w:tcW w:w="553" w:type="dxa"/>
            <w:shd w:val="clear" w:color="auto" w:fill="CCCCCC"/>
            <w:vAlign w:val="center"/>
          </w:tcPr>
          <w:p w:rsidR="00B70D6C" w:rsidRPr="00B70D6C" w:rsidRDefault="00B70D6C" w:rsidP="00BA567B">
            <w:pPr>
              <w:pStyle w:val="ASVSBodyStyle"/>
              <w:jc w:val="center"/>
              <w:rPr>
                <w:rFonts w:asciiTheme="minorHAnsi" w:hAnsiTheme="minorHAnsi" w:cstheme="minorHAnsi"/>
                <w:sz w:val="10"/>
              </w:rPr>
            </w:pP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r>
      <w:tr w:rsidR="00B70D6C" w:rsidRPr="00B70D6C" w:rsidTr="00B70D6C">
        <w:trPr>
          <w:cantSplit/>
        </w:trPr>
        <w:tc>
          <w:tcPr>
            <w:tcW w:w="1972" w:type="dxa"/>
            <w:shd w:val="clear" w:color="auto" w:fill="C97575"/>
          </w:tcPr>
          <w:p w:rsidR="00B70D6C" w:rsidRPr="00B70D6C" w:rsidRDefault="00B70D6C" w:rsidP="00BA567B">
            <w:pPr>
              <w:pStyle w:val="ASVSBodyStyle"/>
              <w:numPr>
                <w:ilvl w:val="0"/>
                <w:numId w:val="9"/>
              </w:numPr>
              <w:spacing w:after="60"/>
              <w:rPr>
                <w:rFonts w:asciiTheme="minorHAnsi" w:hAnsiTheme="minorHAnsi" w:cstheme="minorHAnsi"/>
                <w:sz w:val="10"/>
              </w:rPr>
            </w:pPr>
            <w:r w:rsidRPr="00B70D6C">
              <w:rPr>
                <w:rFonts w:asciiTheme="minorHAnsi" w:hAnsiTheme="minorHAnsi" w:cstheme="minorHAnsi"/>
                <w:sz w:val="10"/>
              </w:rPr>
              <w:tab/>
              <w:t>Verify that all input validation failures are logged.</w:t>
            </w:r>
          </w:p>
        </w:tc>
        <w:tc>
          <w:tcPr>
            <w:tcW w:w="553" w:type="dxa"/>
            <w:shd w:val="clear" w:color="auto" w:fill="CCCCCC"/>
            <w:vAlign w:val="center"/>
          </w:tcPr>
          <w:p w:rsidR="00B70D6C" w:rsidRPr="00B70D6C" w:rsidRDefault="00B70D6C" w:rsidP="00BA567B">
            <w:pPr>
              <w:pStyle w:val="ASVSBodyStyle"/>
              <w:jc w:val="center"/>
              <w:rPr>
                <w:rFonts w:asciiTheme="minorHAnsi" w:hAnsiTheme="minorHAnsi" w:cstheme="minorHAnsi"/>
                <w:sz w:val="10"/>
              </w:rPr>
            </w:pPr>
          </w:p>
        </w:tc>
        <w:tc>
          <w:tcPr>
            <w:tcW w:w="553" w:type="dxa"/>
            <w:shd w:val="clear" w:color="auto" w:fill="CCCCCC"/>
            <w:vAlign w:val="center"/>
          </w:tcPr>
          <w:p w:rsidR="00B70D6C" w:rsidRPr="00B70D6C" w:rsidRDefault="00B70D6C" w:rsidP="00BA567B">
            <w:pPr>
              <w:pStyle w:val="ASVSBodyStyle"/>
              <w:jc w:val="center"/>
              <w:rPr>
                <w:rFonts w:asciiTheme="minorHAnsi" w:hAnsiTheme="minorHAnsi" w:cstheme="minorHAnsi"/>
                <w:sz w:val="10"/>
              </w:rPr>
            </w:pPr>
          </w:p>
        </w:tc>
        <w:tc>
          <w:tcPr>
            <w:tcW w:w="553" w:type="dxa"/>
            <w:shd w:val="clear" w:color="auto" w:fill="CCCCCC"/>
            <w:vAlign w:val="center"/>
          </w:tcPr>
          <w:p w:rsidR="00B70D6C" w:rsidRPr="00B70D6C" w:rsidRDefault="00B70D6C" w:rsidP="00BA567B">
            <w:pPr>
              <w:pStyle w:val="ASVSBodyStyle"/>
              <w:jc w:val="center"/>
              <w:rPr>
                <w:rFonts w:asciiTheme="minorHAnsi" w:hAnsiTheme="minorHAnsi" w:cstheme="minorHAnsi"/>
                <w:sz w:val="10"/>
              </w:rPr>
            </w:pP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r>
      <w:tr w:rsidR="00B70D6C" w:rsidRPr="00B70D6C" w:rsidTr="00B70D6C">
        <w:trPr>
          <w:cantSplit/>
        </w:trPr>
        <w:tc>
          <w:tcPr>
            <w:tcW w:w="1972" w:type="dxa"/>
            <w:shd w:val="clear" w:color="auto" w:fill="C97575"/>
          </w:tcPr>
          <w:p w:rsidR="00B70D6C" w:rsidRPr="00B70D6C" w:rsidRDefault="00B70D6C" w:rsidP="00BA567B">
            <w:pPr>
              <w:pStyle w:val="ASVSBodyStyle"/>
              <w:numPr>
                <w:ilvl w:val="0"/>
                <w:numId w:val="9"/>
              </w:numPr>
              <w:spacing w:after="60"/>
              <w:rPr>
                <w:rFonts w:asciiTheme="minorHAnsi" w:hAnsiTheme="minorHAnsi" w:cstheme="minorHAnsi"/>
                <w:sz w:val="10"/>
              </w:rPr>
            </w:pPr>
            <w:r w:rsidRPr="00B70D6C">
              <w:rPr>
                <w:rFonts w:asciiTheme="minorHAnsi" w:hAnsiTheme="minorHAnsi" w:cstheme="minorHAnsi"/>
                <w:sz w:val="10"/>
              </w:rPr>
              <w:tab/>
              <w:t xml:space="preserve">Verify that all input data is </w:t>
            </w:r>
            <w:proofErr w:type="spellStart"/>
            <w:r w:rsidRPr="00B70D6C">
              <w:rPr>
                <w:rFonts w:asciiTheme="minorHAnsi" w:hAnsiTheme="minorHAnsi" w:cstheme="minorHAnsi"/>
                <w:sz w:val="10"/>
              </w:rPr>
              <w:t>canonicalized</w:t>
            </w:r>
            <w:proofErr w:type="spellEnd"/>
            <w:r w:rsidRPr="00B70D6C">
              <w:rPr>
                <w:rFonts w:asciiTheme="minorHAnsi" w:hAnsiTheme="minorHAnsi" w:cstheme="minorHAnsi"/>
                <w:sz w:val="10"/>
              </w:rPr>
              <w:t xml:space="preserve"> for all downstream decoders or interpreters prior to validation.</w:t>
            </w:r>
          </w:p>
        </w:tc>
        <w:tc>
          <w:tcPr>
            <w:tcW w:w="553" w:type="dxa"/>
            <w:shd w:val="clear" w:color="auto" w:fill="CCCCCC"/>
            <w:vAlign w:val="center"/>
          </w:tcPr>
          <w:p w:rsidR="00B70D6C" w:rsidRPr="00B70D6C" w:rsidRDefault="00B70D6C" w:rsidP="00BA567B">
            <w:pPr>
              <w:pStyle w:val="ASVSBodyStyle"/>
              <w:jc w:val="center"/>
              <w:rPr>
                <w:rFonts w:asciiTheme="minorHAnsi" w:hAnsiTheme="minorHAnsi" w:cstheme="minorHAnsi"/>
                <w:sz w:val="10"/>
              </w:rPr>
            </w:pPr>
          </w:p>
        </w:tc>
        <w:tc>
          <w:tcPr>
            <w:tcW w:w="553" w:type="dxa"/>
            <w:shd w:val="clear" w:color="auto" w:fill="CCCCCC"/>
            <w:vAlign w:val="center"/>
          </w:tcPr>
          <w:p w:rsidR="00B70D6C" w:rsidRPr="00B70D6C" w:rsidRDefault="00B70D6C" w:rsidP="00BA567B">
            <w:pPr>
              <w:pStyle w:val="ASVSBodyStyle"/>
              <w:jc w:val="center"/>
              <w:rPr>
                <w:rFonts w:asciiTheme="minorHAnsi" w:hAnsiTheme="minorHAnsi" w:cstheme="minorHAnsi"/>
                <w:sz w:val="10"/>
              </w:rPr>
            </w:pPr>
          </w:p>
        </w:tc>
        <w:tc>
          <w:tcPr>
            <w:tcW w:w="553" w:type="dxa"/>
            <w:shd w:val="clear" w:color="auto" w:fill="CCCCCC"/>
            <w:vAlign w:val="center"/>
          </w:tcPr>
          <w:p w:rsidR="00B70D6C" w:rsidRPr="00B70D6C" w:rsidRDefault="00B70D6C" w:rsidP="00BA567B">
            <w:pPr>
              <w:pStyle w:val="ASVSBodyStyle"/>
              <w:jc w:val="center"/>
              <w:rPr>
                <w:rFonts w:asciiTheme="minorHAnsi" w:hAnsiTheme="minorHAnsi" w:cstheme="minorHAnsi"/>
                <w:sz w:val="10"/>
              </w:rPr>
            </w:pPr>
          </w:p>
        </w:tc>
        <w:tc>
          <w:tcPr>
            <w:tcW w:w="553" w:type="dxa"/>
            <w:shd w:val="clear" w:color="auto" w:fill="CCCCCC"/>
            <w:vAlign w:val="center"/>
          </w:tcPr>
          <w:p w:rsidR="00B70D6C" w:rsidRPr="00B70D6C" w:rsidRDefault="00B70D6C" w:rsidP="00BA567B">
            <w:pPr>
              <w:pStyle w:val="ASVSBodyStyle"/>
              <w:jc w:val="center"/>
              <w:rPr>
                <w:rFonts w:asciiTheme="minorHAnsi" w:hAnsiTheme="minorHAnsi" w:cstheme="minorHAnsi"/>
                <w:sz w:val="10"/>
              </w:rPr>
            </w:pP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r>
      <w:tr w:rsidR="00B70D6C" w:rsidRPr="00B70D6C" w:rsidTr="00B70D6C">
        <w:trPr>
          <w:cantSplit/>
        </w:trPr>
        <w:tc>
          <w:tcPr>
            <w:tcW w:w="1972" w:type="dxa"/>
            <w:shd w:val="clear" w:color="auto" w:fill="C97575"/>
          </w:tcPr>
          <w:p w:rsidR="00B70D6C" w:rsidRPr="00B70D6C" w:rsidRDefault="00B70D6C" w:rsidP="00BA567B">
            <w:pPr>
              <w:pStyle w:val="ASVSBodyStyle"/>
              <w:numPr>
                <w:ilvl w:val="0"/>
                <w:numId w:val="9"/>
              </w:numPr>
              <w:spacing w:after="60"/>
              <w:rPr>
                <w:rFonts w:asciiTheme="minorHAnsi" w:hAnsiTheme="minorHAnsi" w:cstheme="minorHAnsi"/>
                <w:sz w:val="10"/>
              </w:rPr>
            </w:pPr>
            <w:r w:rsidRPr="00B70D6C">
              <w:rPr>
                <w:rFonts w:asciiTheme="minorHAnsi" w:hAnsiTheme="minorHAnsi" w:cstheme="minorHAnsi"/>
                <w:sz w:val="10"/>
              </w:rPr>
              <w:tab/>
              <w:t xml:space="preserve">Verify that all input validation controls are not affected by any malicious code. </w:t>
            </w:r>
          </w:p>
        </w:tc>
        <w:tc>
          <w:tcPr>
            <w:tcW w:w="553" w:type="dxa"/>
            <w:shd w:val="clear" w:color="auto" w:fill="CCCCCC"/>
            <w:vAlign w:val="center"/>
          </w:tcPr>
          <w:p w:rsidR="00B70D6C" w:rsidRPr="00B70D6C" w:rsidRDefault="00B70D6C" w:rsidP="00BA567B">
            <w:pPr>
              <w:pStyle w:val="ASVSBodyStyle"/>
              <w:jc w:val="center"/>
              <w:rPr>
                <w:rFonts w:asciiTheme="minorHAnsi" w:hAnsiTheme="minorHAnsi" w:cstheme="minorHAnsi"/>
                <w:sz w:val="10"/>
              </w:rPr>
            </w:pPr>
          </w:p>
        </w:tc>
        <w:tc>
          <w:tcPr>
            <w:tcW w:w="553" w:type="dxa"/>
            <w:shd w:val="clear" w:color="auto" w:fill="CCCCCC"/>
            <w:vAlign w:val="center"/>
          </w:tcPr>
          <w:p w:rsidR="00B70D6C" w:rsidRPr="00B70D6C" w:rsidRDefault="00B70D6C" w:rsidP="00BA567B">
            <w:pPr>
              <w:pStyle w:val="ASVSBodyStyle"/>
              <w:jc w:val="center"/>
              <w:rPr>
                <w:rFonts w:asciiTheme="minorHAnsi" w:hAnsiTheme="minorHAnsi" w:cstheme="minorHAnsi"/>
                <w:sz w:val="10"/>
              </w:rPr>
            </w:pPr>
          </w:p>
        </w:tc>
        <w:tc>
          <w:tcPr>
            <w:tcW w:w="553" w:type="dxa"/>
            <w:shd w:val="clear" w:color="auto" w:fill="CCCCCC"/>
            <w:vAlign w:val="center"/>
          </w:tcPr>
          <w:p w:rsidR="00B70D6C" w:rsidRPr="00B70D6C" w:rsidRDefault="00B70D6C" w:rsidP="00BA567B">
            <w:pPr>
              <w:pStyle w:val="ASVSBodyStyle"/>
              <w:jc w:val="center"/>
              <w:rPr>
                <w:rFonts w:asciiTheme="minorHAnsi" w:hAnsiTheme="minorHAnsi" w:cstheme="minorHAnsi"/>
                <w:sz w:val="10"/>
              </w:rPr>
            </w:pPr>
          </w:p>
        </w:tc>
        <w:tc>
          <w:tcPr>
            <w:tcW w:w="553" w:type="dxa"/>
            <w:shd w:val="clear" w:color="auto" w:fill="CCCCCC"/>
            <w:vAlign w:val="center"/>
          </w:tcPr>
          <w:p w:rsidR="00B70D6C" w:rsidRPr="00B70D6C" w:rsidRDefault="00B70D6C" w:rsidP="00BA567B">
            <w:pPr>
              <w:pStyle w:val="ASVSBodyStyle"/>
              <w:jc w:val="center"/>
              <w:rPr>
                <w:rFonts w:asciiTheme="minorHAnsi" w:hAnsiTheme="minorHAnsi" w:cstheme="minorHAnsi"/>
                <w:sz w:val="10"/>
              </w:rPr>
            </w:pPr>
          </w:p>
        </w:tc>
        <w:tc>
          <w:tcPr>
            <w:tcW w:w="553" w:type="dxa"/>
            <w:shd w:val="clear" w:color="auto" w:fill="CCCCCC"/>
            <w:vAlign w:val="center"/>
          </w:tcPr>
          <w:p w:rsidR="00B70D6C" w:rsidRPr="00B70D6C" w:rsidRDefault="00B70D6C" w:rsidP="00BA567B">
            <w:pPr>
              <w:pStyle w:val="ASVSBodyStyle"/>
              <w:jc w:val="center"/>
              <w:rPr>
                <w:rFonts w:asciiTheme="minorHAnsi" w:hAnsiTheme="minorHAnsi" w:cstheme="minorHAnsi"/>
                <w:sz w:val="10"/>
              </w:rPr>
            </w:pPr>
          </w:p>
        </w:tc>
        <w:tc>
          <w:tcPr>
            <w:tcW w:w="553" w:type="dxa"/>
            <w:shd w:val="clear" w:color="auto" w:fill="E6E6E6"/>
            <w:vAlign w:val="center"/>
          </w:tcPr>
          <w:p w:rsidR="00B70D6C" w:rsidRPr="00B70D6C" w:rsidRDefault="00B70D6C" w:rsidP="00BA567B">
            <w:pPr>
              <w:pStyle w:val="ASVSBodyStyle"/>
              <w:jc w:val="center"/>
              <w:rPr>
                <w:rFonts w:asciiTheme="minorHAnsi" w:hAnsiTheme="minorHAnsi" w:cstheme="minorHAnsi"/>
                <w:sz w:val="10"/>
              </w:rPr>
            </w:pPr>
            <w:r w:rsidRPr="00B70D6C">
              <w:rPr>
                <w:rFonts w:asciiTheme="minorHAnsi" w:hAnsiTheme="minorHAnsi" w:cstheme="minorHAnsi"/>
                <w:sz w:val="10"/>
                <w:szCs w:val="20"/>
              </w:rPr>
              <w:sym w:font="Wingdings" w:char="F0FC"/>
            </w:r>
          </w:p>
        </w:tc>
      </w:tr>
    </w:tbl>
    <w:p w:rsidR="00D85491" w:rsidRDefault="00D85491" w:rsidP="00B70D6C">
      <w:pPr>
        <w:rPr>
          <w:lang w:val="es-MX"/>
        </w:rPr>
      </w:pPr>
    </w:p>
    <w:p w:rsidR="00B70D6C" w:rsidRPr="00B70D6C" w:rsidRDefault="00B70D6C" w:rsidP="00B70D6C">
      <w:pPr>
        <w:rPr>
          <w:lang w:val="es-MX"/>
        </w:rPr>
      </w:pPr>
      <w:r w:rsidRPr="00B70D6C">
        <w:rPr>
          <w:lang w:val="es-MX"/>
        </w:rPr>
        <w:t xml:space="preserve">Utilizaremos diversas herramientas para automatizar la identificación y explotación de la vulnerabilidad de inyección de SQL; dado el costo de las soluciones comerciales, nos enfocaremos a utilizar soluciones de software libre como </w:t>
      </w:r>
      <w:proofErr w:type="spellStart"/>
      <w:r w:rsidRPr="00B70D6C">
        <w:rPr>
          <w:lang w:val="es-MX"/>
        </w:rPr>
        <w:t>SQLiX</w:t>
      </w:r>
      <w:proofErr w:type="spellEnd"/>
      <w:r w:rsidRPr="00B70D6C">
        <w:rPr>
          <w:lang w:val="es-MX"/>
        </w:rPr>
        <w:t xml:space="preserve">, </w:t>
      </w:r>
      <w:proofErr w:type="spellStart"/>
      <w:r w:rsidRPr="00B70D6C">
        <w:rPr>
          <w:lang w:val="es-MX"/>
        </w:rPr>
        <w:t>SQLmap</w:t>
      </w:r>
      <w:proofErr w:type="spellEnd"/>
      <w:r w:rsidRPr="00B70D6C">
        <w:rPr>
          <w:lang w:val="es-MX"/>
        </w:rPr>
        <w:t>, SQL Ninja, ZAP.</w:t>
      </w:r>
    </w:p>
    <w:p w:rsidR="00B70D6C" w:rsidRPr="00B70D6C" w:rsidRDefault="00B70D6C" w:rsidP="00B70D6C">
      <w:pPr>
        <w:rPr>
          <w:lang w:val="es-MX"/>
        </w:rPr>
      </w:pPr>
    </w:p>
    <w:p w:rsidR="00D85491" w:rsidRDefault="00B70D6C" w:rsidP="00B70D6C">
      <w:pPr>
        <w:rPr>
          <w:lang w:val="es-MX"/>
        </w:rPr>
      </w:pPr>
      <w:r w:rsidRPr="00B70D6C">
        <w:rPr>
          <w:lang w:val="es-MX"/>
        </w:rPr>
        <w:lastRenderedPageBreak/>
        <w:t>Por otro lado, evaluaremos las prácticas de desarrollo de software de la organización con base al cuestionario de</w:t>
      </w:r>
      <w:r w:rsidR="00D85491">
        <w:rPr>
          <w:lang w:val="es-MX"/>
        </w:rPr>
        <w:t xml:space="preserve"> </w:t>
      </w:r>
      <w:sdt>
        <w:sdtPr>
          <w:rPr>
            <w:lang w:val="es-MX"/>
          </w:rPr>
          <w:id w:val="-1577964857"/>
          <w:citation/>
        </w:sdtPr>
        <w:sdtContent>
          <w:r w:rsidR="00D85491">
            <w:rPr>
              <w:lang w:val="es-MX"/>
            </w:rPr>
            <w:fldChar w:fldCharType="begin"/>
          </w:r>
          <w:r w:rsidR="00D85491">
            <w:rPr>
              <w:lang w:val="es-MX"/>
            </w:rPr>
            <w:instrText xml:space="preserve"> CITATION Cha12 \l 2058 </w:instrText>
          </w:r>
          <w:r w:rsidR="00D85491">
            <w:rPr>
              <w:lang w:val="es-MX"/>
            </w:rPr>
            <w:fldChar w:fldCharType="separate"/>
          </w:r>
          <w:r w:rsidR="00D85491">
            <w:rPr>
              <w:noProof/>
              <w:lang w:val="es-MX"/>
            </w:rPr>
            <w:t>(Chandra &amp; Deleersnyder, 2012)</w:t>
          </w:r>
          <w:r w:rsidR="00D85491">
            <w:rPr>
              <w:lang w:val="es-MX"/>
            </w:rPr>
            <w:fldChar w:fldCharType="end"/>
          </w:r>
        </w:sdtContent>
      </w:sdt>
      <w:r w:rsidRPr="00B70D6C">
        <w:rPr>
          <w:lang w:val="es-MX"/>
        </w:rPr>
        <w:t xml:space="preserve">, definiremos el nivel de madurez descrito por SAMM y entregaremos las recomendaciones a la organización. </w:t>
      </w:r>
    </w:p>
    <w:p w:rsidR="00CC512F" w:rsidRPr="00B70D6C" w:rsidRDefault="00B70D6C" w:rsidP="00B70D6C">
      <w:pPr>
        <w:rPr>
          <w:lang w:val="es-MX"/>
        </w:rPr>
      </w:pPr>
      <w:r w:rsidRPr="00B70D6C">
        <w:rPr>
          <w:lang w:val="es-MX"/>
        </w:rPr>
        <w:t xml:space="preserve">Se espera que la organización trabaje en esos puntos, para después de un tiempo </w:t>
      </w:r>
      <w:r w:rsidR="00D85491">
        <w:rPr>
          <w:lang w:val="es-MX"/>
        </w:rPr>
        <w:t>acordado</w:t>
      </w:r>
      <w:r w:rsidRPr="00B70D6C">
        <w:rPr>
          <w:lang w:val="es-MX"/>
        </w:rPr>
        <w:t xml:space="preserve"> con la organización objetivo, regresar y aplicar el mismo cuestionario</w:t>
      </w:r>
      <w:r w:rsidR="00D85491">
        <w:rPr>
          <w:lang w:val="es-MX"/>
        </w:rPr>
        <w:t xml:space="preserve">, las mismas pruebas a la </w:t>
      </w:r>
      <w:r w:rsidR="0020666B">
        <w:rPr>
          <w:lang w:val="es-MX"/>
        </w:rPr>
        <w:t>a</w:t>
      </w:r>
      <w:r w:rsidR="00D85491">
        <w:rPr>
          <w:lang w:val="es-MX"/>
        </w:rPr>
        <w:t>plicación</w:t>
      </w:r>
      <w:r w:rsidRPr="00B70D6C">
        <w:rPr>
          <w:lang w:val="es-MX"/>
        </w:rPr>
        <w:t xml:space="preserve">, </w:t>
      </w:r>
      <w:r w:rsidR="00D85491">
        <w:rPr>
          <w:lang w:val="es-MX"/>
        </w:rPr>
        <w:t>verificar</w:t>
      </w:r>
      <w:r w:rsidRPr="00B70D6C">
        <w:rPr>
          <w:lang w:val="es-MX"/>
        </w:rPr>
        <w:t xml:space="preserve"> evidencias de la implementación de las recomendaciones, y revaluar el nivel de madurez</w:t>
      </w:r>
      <w:r w:rsidR="00D85491">
        <w:rPr>
          <w:lang w:val="es-MX"/>
        </w:rPr>
        <w:t xml:space="preserve"> de </w:t>
      </w:r>
      <w:sdt>
        <w:sdtPr>
          <w:rPr>
            <w:lang w:val="es-MX"/>
          </w:rPr>
          <w:id w:val="1316992919"/>
          <w:citation/>
        </w:sdtPr>
        <w:sdtContent>
          <w:r w:rsidR="00D85491">
            <w:rPr>
              <w:lang w:val="es-MX"/>
            </w:rPr>
            <w:fldChar w:fldCharType="begin"/>
          </w:r>
          <w:r w:rsidR="00D85491">
            <w:rPr>
              <w:lang w:val="es-MX"/>
            </w:rPr>
            <w:instrText xml:space="preserve"> CITATION Cha12 \l 2058 </w:instrText>
          </w:r>
          <w:r w:rsidR="00D85491">
            <w:rPr>
              <w:lang w:val="es-MX"/>
            </w:rPr>
            <w:fldChar w:fldCharType="separate"/>
          </w:r>
          <w:r w:rsidR="00D85491">
            <w:rPr>
              <w:noProof/>
              <w:lang w:val="es-MX"/>
            </w:rPr>
            <w:t>(Chandra &amp; Deleersnyder, 2012)</w:t>
          </w:r>
          <w:r w:rsidR="00D85491">
            <w:rPr>
              <w:lang w:val="es-MX"/>
            </w:rPr>
            <w:fldChar w:fldCharType="end"/>
          </w:r>
        </w:sdtContent>
      </w:sdt>
      <w:r w:rsidRPr="00B70D6C">
        <w:rPr>
          <w:lang w:val="es-MX"/>
        </w:rPr>
        <w:t>.</w:t>
      </w:r>
    </w:p>
    <w:p w:rsidR="00F475AB" w:rsidRDefault="00D13016" w:rsidP="00A57E04">
      <w:pPr>
        <w:pStyle w:val="Heading1"/>
        <w:numPr>
          <w:ilvl w:val="0"/>
          <w:numId w:val="4"/>
        </w:numPr>
        <w:spacing w:before="240"/>
      </w:pPr>
      <w:r>
        <w:t>RESULTADOS</w:t>
      </w:r>
    </w:p>
    <w:p w:rsidR="00F475AB" w:rsidRDefault="00D13016" w:rsidP="00A57E04">
      <w:pPr>
        <w:pStyle w:val="Heading1"/>
        <w:numPr>
          <w:ilvl w:val="0"/>
          <w:numId w:val="4"/>
        </w:numPr>
        <w:spacing w:before="240"/>
      </w:pPr>
      <w:r>
        <w:t>DISCUSIÓN</w:t>
      </w:r>
    </w:p>
    <w:p w:rsidR="00F475AB" w:rsidRDefault="008E6BE2" w:rsidP="00A57E04">
      <w:pPr>
        <w:pStyle w:val="Heading1"/>
        <w:numPr>
          <w:ilvl w:val="0"/>
          <w:numId w:val="4"/>
        </w:numPr>
        <w:spacing w:before="240"/>
      </w:pPr>
      <w:r>
        <w:t>CONCLUSIÓ</w:t>
      </w:r>
      <w:r w:rsidR="00A57E04">
        <w:t>N</w:t>
      </w:r>
    </w:p>
    <w:p w:rsidR="00F475AB" w:rsidRDefault="00D13016" w:rsidP="00A57E04">
      <w:pPr>
        <w:pStyle w:val="Heading1"/>
        <w:numPr>
          <w:ilvl w:val="0"/>
          <w:numId w:val="4"/>
        </w:numPr>
        <w:spacing w:before="240"/>
      </w:pPr>
      <w:r>
        <w:t>RECONOCIMIENTOS</w:t>
      </w:r>
    </w:p>
    <w:p w:rsidR="00F475AB" w:rsidRDefault="00686E49" w:rsidP="00A57E04">
      <w:pPr>
        <w:pStyle w:val="Heading1"/>
        <w:numPr>
          <w:ilvl w:val="0"/>
          <w:numId w:val="4"/>
        </w:numPr>
        <w:spacing w:before="240"/>
      </w:pPr>
      <w:r>
        <w:t>REFERENCIA</w:t>
      </w:r>
      <w:r w:rsidR="00A57E04">
        <w:t>S</w:t>
      </w:r>
    </w:p>
    <w:sdt>
      <w:sdtPr>
        <w:id w:val="1612090459"/>
        <w:docPartObj>
          <w:docPartGallery w:val="Bibliographies"/>
          <w:docPartUnique/>
        </w:docPartObj>
      </w:sdtPr>
      <w:sdtEndPr>
        <w:rPr>
          <w:bCs/>
          <w:sz w:val="20"/>
        </w:rPr>
      </w:sdtEndPr>
      <w:sdtContent>
        <w:p w:rsidR="00F344C9" w:rsidRDefault="00F344C9">
          <w:pPr>
            <w:pStyle w:val="Heading1"/>
          </w:pPr>
        </w:p>
        <w:p w:rsidR="00F344C9" w:rsidRDefault="00F344C9" w:rsidP="00F344C9">
          <w:pPr>
            <w:pStyle w:val="Bibliography"/>
            <w:ind w:left="720" w:hanging="720"/>
            <w:rPr>
              <w:noProof/>
              <w:lang w:val="es-MX"/>
            </w:rPr>
          </w:pPr>
          <w:r>
            <w:fldChar w:fldCharType="begin"/>
          </w:r>
          <w:r>
            <w:instrText xml:space="preserve"> BIBLIOGRAPHY </w:instrText>
          </w:r>
          <w:r>
            <w:fldChar w:fldCharType="separate"/>
          </w:r>
          <w:r w:rsidRPr="00F344C9">
            <w:rPr>
              <w:noProof/>
            </w:rPr>
            <w:t xml:space="preserve">Chandra, P., &amp; Deleersnyder, S. (2012). </w:t>
          </w:r>
          <w:r w:rsidRPr="00F344C9">
            <w:rPr>
              <w:i/>
              <w:iCs/>
              <w:noProof/>
            </w:rPr>
            <w:t>OWASP Software Assurance Maturity Model.</w:t>
          </w:r>
          <w:r w:rsidRPr="00F344C9">
            <w:rPr>
              <w:noProof/>
            </w:rPr>
            <w:t xml:space="preserve"> </w:t>
          </w:r>
          <w:r>
            <w:rPr>
              <w:noProof/>
              <w:lang w:val="es-MX"/>
            </w:rPr>
            <w:t>Creative Commons (CC) Attribution-Share Alike.</w:t>
          </w:r>
        </w:p>
        <w:p w:rsidR="00F344C9" w:rsidRDefault="00F344C9" w:rsidP="00F344C9">
          <w:pPr>
            <w:pStyle w:val="Bibliography"/>
            <w:ind w:left="720" w:hanging="720"/>
            <w:rPr>
              <w:noProof/>
              <w:lang w:val="es-MX"/>
            </w:rPr>
          </w:pPr>
          <w:r w:rsidRPr="00F344C9">
            <w:rPr>
              <w:noProof/>
            </w:rPr>
            <w:t xml:space="preserve">Clarke, J. (2012). </w:t>
          </w:r>
          <w:r w:rsidRPr="00F344C9">
            <w:rPr>
              <w:i/>
              <w:iCs/>
              <w:noProof/>
            </w:rPr>
            <w:t>SQL Injection Attacks and Defense, 2nd Edition.</w:t>
          </w:r>
          <w:r w:rsidRPr="00F344C9">
            <w:rPr>
              <w:noProof/>
            </w:rPr>
            <w:t xml:space="preserve"> </w:t>
          </w:r>
          <w:r>
            <w:rPr>
              <w:noProof/>
              <w:lang w:val="es-MX"/>
            </w:rPr>
            <w:t>Syngress.</w:t>
          </w:r>
        </w:p>
        <w:p w:rsidR="00F344C9" w:rsidRDefault="00F344C9" w:rsidP="00F344C9">
          <w:pPr>
            <w:pStyle w:val="Bibliography"/>
            <w:ind w:left="720" w:hanging="720"/>
            <w:rPr>
              <w:noProof/>
              <w:lang w:val="es-MX"/>
            </w:rPr>
          </w:pPr>
          <w:r>
            <w:rPr>
              <w:noProof/>
              <w:lang w:val="es-MX"/>
            </w:rPr>
            <w:t xml:space="preserve">Diario Oficial de la Federación. (2010). DECRETO por el que se expide la Ley Federal de Protección de Datos Personales en Posesión de los Particulares. </w:t>
          </w:r>
          <w:r>
            <w:rPr>
              <w:i/>
              <w:iCs/>
              <w:noProof/>
              <w:lang w:val="es-MX"/>
            </w:rPr>
            <w:t>Diario Oficial de la Federación</w:t>
          </w:r>
          <w:r>
            <w:rPr>
              <w:noProof/>
              <w:lang w:val="es-MX"/>
            </w:rPr>
            <w:t>, 11-12.</w:t>
          </w:r>
        </w:p>
        <w:p w:rsidR="00F344C9" w:rsidRDefault="00F344C9" w:rsidP="00F344C9">
          <w:pPr>
            <w:pStyle w:val="Bibliography"/>
            <w:ind w:left="720" w:hanging="720"/>
            <w:rPr>
              <w:noProof/>
              <w:lang w:val="es-MX"/>
            </w:rPr>
          </w:pPr>
          <w:r>
            <w:rPr>
              <w:noProof/>
              <w:lang w:val="es-MX"/>
            </w:rPr>
            <w:t xml:space="preserve">Harris, S. (2008). </w:t>
          </w:r>
          <w:r>
            <w:rPr>
              <w:i/>
              <w:iCs/>
              <w:noProof/>
              <w:lang w:val="es-MX"/>
            </w:rPr>
            <w:t>All in One CISSP Exam Guide.</w:t>
          </w:r>
          <w:r>
            <w:rPr>
              <w:noProof/>
              <w:lang w:val="es-MX"/>
            </w:rPr>
            <w:t xml:space="preserve"> McGraw-Hill.</w:t>
          </w:r>
        </w:p>
        <w:p w:rsidR="00F344C9" w:rsidRDefault="00F344C9" w:rsidP="00F344C9">
          <w:pPr>
            <w:pStyle w:val="Bibliography"/>
            <w:ind w:left="720" w:hanging="720"/>
            <w:rPr>
              <w:noProof/>
              <w:lang w:val="es-MX"/>
            </w:rPr>
          </w:pPr>
          <w:r>
            <w:rPr>
              <w:noProof/>
              <w:lang w:val="es-MX"/>
            </w:rPr>
            <w:t xml:space="preserve">Hernández Sampieri, R., Fernández Collado, C., &amp; Baptista Lucio, P. (1991). </w:t>
          </w:r>
          <w:r>
            <w:rPr>
              <w:i/>
              <w:iCs/>
              <w:noProof/>
              <w:lang w:val="es-MX"/>
            </w:rPr>
            <w:t>Metodología de la investigación.</w:t>
          </w:r>
          <w:r>
            <w:rPr>
              <w:noProof/>
              <w:lang w:val="es-MX"/>
            </w:rPr>
            <w:t xml:space="preserve"> Naucalpan de Juárez, Edo. de México: McGRAW - HILL INTERAMERICANA DE MÉXICO, S.A. de C.V.</w:t>
          </w:r>
        </w:p>
        <w:p w:rsidR="00F344C9" w:rsidRDefault="00F344C9" w:rsidP="00F344C9">
          <w:pPr>
            <w:pStyle w:val="Bibliography"/>
            <w:ind w:left="720" w:hanging="720"/>
            <w:rPr>
              <w:noProof/>
            </w:rPr>
          </w:pPr>
          <w:r>
            <w:rPr>
              <w:noProof/>
            </w:rPr>
            <w:lastRenderedPageBreak/>
            <w:t xml:space="preserve">Hewlett-Packard. (2012). </w:t>
          </w:r>
          <w:r>
            <w:rPr>
              <w:i/>
              <w:iCs/>
              <w:noProof/>
            </w:rPr>
            <w:t>HP 2012 Cyber Risk Report.</w:t>
          </w:r>
          <w:r>
            <w:rPr>
              <w:noProof/>
            </w:rPr>
            <w:t xml:space="preserve"> </w:t>
          </w:r>
        </w:p>
        <w:p w:rsidR="00F344C9" w:rsidRPr="00F344C9" w:rsidRDefault="00F344C9" w:rsidP="00F344C9">
          <w:pPr>
            <w:pStyle w:val="Bibliography"/>
            <w:ind w:left="720" w:hanging="720"/>
            <w:rPr>
              <w:noProof/>
            </w:rPr>
          </w:pPr>
          <w:r w:rsidRPr="00F344C9">
            <w:rPr>
              <w:noProof/>
            </w:rPr>
            <w:t xml:space="preserve">OWASP. (2009). </w:t>
          </w:r>
          <w:r w:rsidRPr="00F344C9">
            <w:rPr>
              <w:i/>
              <w:iCs/>
              <w:noProof/>
            </w:rPr>
            <w:t>OWASP Application Security Verification Standard (ASVS).</w:t>
          </w:r>
          <w:r w:rsidRPr="00F344C9">
            <w:rPr>
              <w:noProof/>
            </w:rPr>
            <w:t xml:space="preserve"> Creative Commons (CC) Attribution Share-Alike.</w:t>
          </w:r>
        </w:p>
        <w:p w:rsidR="00F344C9" w:rsidRDefault="00F344C9" w:rsidP="00F344C9">
          <w:pPr>
            <w:pStyle w:val="Bibliography"/>
            <w:ind w:left="720" w:hanging="720"/>
            <w:rPr>
              <w:noProof/>
              <w:lang w:val="es-MX"/>
            </w:rPr>
          </w:pPr>
          <w:r w:rsidRPr="00F344C9">
            <w:rPr>
              <w:noProof/>
            </w:rPr>
            <w:t xml:space="preserve">Ponemon Institute. (2012). </w:t>
          </w:r>
          <w:r w:rsidRPr="00F344C9">
            <w:rPr>
              <w:i/>
              <w:iCs/>
              <w:noProof/>
            </w:rPr>
            <w:t>2012 Cost of Cyber Crime Study:.</w:t>
          </w:r>
          <w:r w:rsidRPr="00F344C9">
            <w:rPr>
              <w:noProof/>
            </w:rPr>
            <w:t xml:space="preserve"> </w:t>
          </w:r>
          <w:r>
            <w:rPr>
              <w:noProof/>
              <w:lang w:val="es-MX"/>
            </w:rPr>
            <w:t>Ponemon Institute LLC.</w:t>
          </w:r>
        </w:p>
        <w:p w:rsidR="00F344C9" w:rsidRDefault="00F344C9" w:rsidP="00F344C9">
          <w:pPr>
            <w:pStyle w:val="Bibliography"/>
            <w:ind w:left="720" w:hanging="720"/>
            <w:rPr>
              <w:noProof/>
              <w:lang w:val="es-MX"/>
            </w:rPr>
          </w:pPr>
          <w:r>
            <w:rPr>
              <w:noProof/>
              <w:lang w:val="es-MX"/>
            </w:rPr>
            <w:t xml:space="preserve">Puppy, R. F. (24 de Diciembre de 1998). </w:t>
          </w:r>
          <w:r>
            <w:rPr>
              <w:i/>
              <w:iCs/>
              <w:noProof/>
              <w:lang w:val="es-MX"/>
            </w:rPr>
            <w:t>Phrack.</w:t>
          </w:r>
          <w:r>
            <w:rPr>
              <w:noProof/>
              <w:lang w:val="es-MX"/>
            </w:rPr>
            <w:t xml:space="preserve"> Recuperado el Abril de 2013, de NT Web Technology Vulnerabilities: http://www.phrack.com/issues.html?issue=54&amp;id=8#article</w:t>
          </w:r>
        </w:p>
        <w:p w:rsidR="00F344C9" w:rsidRPr="00F344C9" w:rsidRDefault="00F344C9" w:rsidP="00F344C9">
          <w:pPr>
            <w:pStyle w:val="Bibliography"/>
            <w:ind w:left="720" w:hanging="720"/>
            <w:rPr>
              <w:noProof/>
            </w:rPr>
          </w:pPr>
          <w:r w:rsidRPr="00F344C9">
            <w:rPr>
              <w:noProof/>
            </w:rPr>
            <w:t xml:space="preserve">Scholt, T., Balzarotti, D., &amp; Kirda, E. (2012). </w:t>
          </w:r>
          <w:r w:rsidRPr="00F344C9">
            <w:rPr>
              <w:i/>
              <w:iCs/>
              <w:noProof/>
            </w:rPr>
            <w:t>Have things changed now? An Empirical Study on Input Validation Vulnerabilities in Web Applications.</w:t>
          </w:r>
          <w:r w:rsidRPr="00F344C9">
            <w:rPr>
              <w:noProof/>
            </w:rPr>
            <w:t xml:space="preserve"> </w:t>
          </w:r>
        </w:p>
        <w:p w:rsidR="00F344C9" w:rsidRDefault="00F344C9" w:rsidP="00F344C9">
          <w:pPr>
            <w:pStyle w:val="Bibliography"/>
            <w:ind w:left="720" w:hanging="720"/>
            <w:rPr>
              <w:noProof/>
              <w:lang w:val="es-MX"/>
            </w:rPr>
          </w:pPr>
          <w:r w:rsidRPr="00F344C9">
            <w:rPr>
              <w:noProof/>
            </w:rPr>
            <w:t xml:space="preserve">Tatum, M. (Enero de 2013). </w:t>
          </w:r>
          <w:r w:rsidRPr="00F344C9">
            <w:rPr>
              <w:i/>
              <w:iCs/>
              <w:noProof/>
            </w:rPr>
            <w:t>What Is a Cyberattack?</w:t>
          </w:r>
          <w:r w:rsidRPr="00F344C9">
            <w:rPr>
              <w:noProof/>
            </w:rPr>
            <w:t xml:space="preserve"> </w:t>
          </w:r>
          <w:r>
            <w:rPr>
              <w:noProof/>
              <w:lang w:val="es-MX"/>
            </w:rPr>
            <w:t>Recuperado el Marzo de 2013, de Wise Geek: http://www.wisegeek.com/what-is-a-cyberattack.htm</w:t>
          </w:r>
        </w:p>
        <w:p w:rsidR="00F344C9" w:rsidRDefault="00F344C9" w:rsidP="00F344C9">
          <w:pPr>
            <w:pStyle w:val="Bibliography"/>
            <w:ind w:left="720" w:hanging="720"/>
            <w:rPr>
              <w:noProof/>
              <w:lang w:val="es-MX"/>
            </w:rPr>
          </w:pPr>
          <w:r w:rsidRPr="00F344C9">
            <w:rPr>
              <w:noProof/>
            </w:rPr>
            <w:t xml:space="preserve">The Open Source Vulnerability Database. (2012). </w:t>
          </w:r>
          <w:r w:rsidRPr="00F344C9">
            <w:rPr>
              <w:i/>
              <w:iCs/>
              <w:noProof/>
            </w:rPr>
            <w:t>The Open Source Vulnerability Database</w:t>
          </w:r>
          <w:r w:rsidRPr="00F344C9">
            <w:rPr>
              <w:noProof/>
            </w:rPr>
            <w:t xml:space="preserve">. </w:t>
          </w:r>
          <w:r>
            <w:rPr>
              <w:noProof/>
              <w:lang w:val="es-MX"/>
            </w:rPr>
            <w:t>Recuperado el Marzo 2013 de 2013, de The Open Source Vulnerability Database: http://www.osvdb.org</w:t>
          </w:r>
        </w:p>
        <w:p w:rsidR="00F344C9" w:rsidRDefault="00F344C9" w:rsidP="00F344C9">
          <w:pPr>
            <w:pStyle w:val="Bibliography"/>
            <w:ind w:left="720" w:hanging="720"/>
            <w:rPr>
              <w:noProof/>
            </w:rPr>
          </w:pPr>
          <w:r w:rsidRPr="00F344C9">
            <w:rPr>
              <w:noProof/>
              <w:lang w:val="es-MX"/>
            </w:rPr>
            <w:t xml:space="preserve">van der Stock, A. (2005). </w:t>
          </w:r>
          <w:r w:rsidRPr="00F344C9">
            <w:rPr>
              <w:i/>
              <w:iCs/>
              <w:noProof/>
              <w:lang w:val="es-MX"/>
            </w:rPr>
            <w:t>Una Guía para Construir Aplicaciones y Servicios Web Seguros.</w:t>
          </w:r>
          <w:r w:rsidRPr="00F344C9">
            <w:rPr>
              <w:noProof/>
              <w:lang w:val="es-MX"/>
            </w:rPr>
            <w:t xml:space="preserve"> </w:t>
          </w:r>
          <w:r>
            <w:rPr>
              <w:noProof/>
            </w:rPr>
            <w:t>Free Software Foundation.</w:t>
          </w:r>
        </w:p>
        <w:p w:rsidR="00F344C9" w:rsidRPr="00F344C9" w:rsidRDefault="00F344C9" w:rsidP="00F344C9">
          <w:pPr>
            <w:pStyle w:val="Bibliography"/>
            <w:ind w:left="720" w:hanging="720"/>
            <w:rPr>
              <w:noProof/>
            </w:rPr>
          </w:pPr>
          <w:r w:rsidRPr="00F344C9">
            <w:rPr>
              <w:noProof/>
            </w:rPr>
            <w:t xml:space="preserve">Williams, J., &amp; Wichers, D. (2013). </w:t>
          </w:r>
          <w:r w:rsidRPr="00F344C9">
            <w:rPr>
              <w:i/>
              <w:iCs/>
              <w:noProof/>
            </w:rPr>
            <w:t>OWASP Top Ten - 2013.</w:t>
          </w:r>
          <w:r w:rsidRPr="00F344C9">
            <w:rPr>
              <w:noProof/>
            </w:rPr>
            <w:t xml:space="preserve"> Creative Commons (CC) Attribution Share-Alike.</w:t>
          </w:r>
        </w:p>
        <w:p w:rsidR="00F344C9" w:rsidRDefault="00F344C9" w:rsidP="00F344C9">
          <w:r>
            <w:rPr>
              <w:b/>
              <w:bCs/>
            </w:rPr>
            <w:fldChar w:fldCharType="end"/>
          </w:r>
        </w:p>
      </w:sdtContent>
    </w:sdt>
    <w:p w:rsidR="00D16779" w:rsidRDefault="002C5DD2" w:rsidP="00D16779">
      <w:pPr>
        <w:pStyle w:val="Heading1"/>
        <w:spacing w:before="240"/>
      </w:pPr>
      <w:r>
        <w:t>BIOGRAFÍA DEL AUTOR</w:t>
      </w:r>
    </w:p>
    <w:p w:rsidR="008E6BE2" w:rsidRPr="008E6BE2" w:rsidRDefault="008E6BE2" w:rsidP="00D16779">
      <w:pPr>
        <w:rPr>
          <w:lang w:val="es-MX"/>
        </w:rPr>
      </w:pPr>
      <w:r w:rsidRPr="008E6BE2">
        <w:rPr>
          <w:lang w:val="es-MX"/>
        </w:rPr>
        <w:t>Manuel López es un entusiasta de la Seguridad de la Informaci</w:t>
      </w:r>
      <w:r>
        <w:rPr>
          <w:lang w:val="es-MX"/>
        </w:rPr>
        <w:t xml:space="preserve">ón con 10 años de experiencia trabajando en diversas instituciones transnacionales. Es </w:t>
      </w:r>
      <w:proofErr w:type="spellStart"/>
      <w:r>
        <w:rPr>
          <w:lang w:val="es-MX"/>
        </w:rPr>
        <w:t>co</w:t>
      </w:r>
      <w:proofErr w:type="spellEnd"/>
      <w:r>
        <w:rPr>
          <w:lang w:val="es-MX"/>
        </w:rPr>
        <w:t xml:space="preserve">-líder y </w:t>
      </w:r>
      <w:proofErr w:type="spellStart"/>
      <w:r>
        <w:rPr>
          <w:lang w:val="es-MX"/>
        </w:rPr>
        <w:t>co</w:t>
      </w:r>
      <w:proofErr w:type="spellEnd"/>
      <w:r>
        <w:rPr>
          <w:lang w:val="es-MX"/>
        </w:rPr>
        <w:t>-fundador del capítulo OWASP Guadalajara. Comentarios pueden ser enviados a (</w:t>
      </w:r>
      <w:proofErr w:type="spellStart"/>
      <w:r>
        <w:rPr>
          <w:lang w:val="es-MX"/>
        </w:rPr>
        <w:t>manuel</w:t>
      </w:r>
      <w:proofErr w:type="spellEnd"/>
      <w:r>
        <w:rPr>
          <w:lang w:val="es-MX"/>
        </w:rPr>
        <w:t xml:space="preserve"> punto </w:t>
      </w:r>
      <w:proofErr w:type="spellStart"/>
      <w:r>
        <w:rPr>
          <w:lang w:val="es-MX"/>
        </w:rPr>
        <w:t>lopez</w:t>
      </w:r>
      <w:proofErr w:type="spellEnd"/>
      <w:r>
        <w:rPr>
          <w:lang w:val="es-MX"/>
        </w:rPr>
        <w:t xml:space="preserve"> en </w:t>
      </w:r>
      <w:proofErr w:type="spellStart"/>
      <w:r>
        <w:rPr>
          <w:lang w:val="es-MX"/>
        </w:rPr>
        <w:t>owasp</w:t>
      </w:r>
      <w:proofErr w:type="spellEnd"/>
      <w:r>
        <w:rPr>
          <w:lang w:val="es-MX"/>
        </w:rPr>
        <w:t xml:space="preserve"> punto </w:t>
      </w:r>
      <w:proofErr w:type="spellStart"/>
      <w:r>
        <w:rPr>
          <w:lang w:val="es-MX"/>
        </w:rPr>
        <w:t>org</w:t>
      </w:r>
      <w:proofErr w:type="spellEnd"/>
      <w:r>
        <w:rPr>
          <w:lang w:val="es-MX"/>
        </w:rPr>
        <w:t>).</w:t>
      </w:r>
    </w:p>
    <w:p w:rsidR="00D16779" w:rsidRPr="008E6BE2" w:rsidRDefault="00D16779" w:rsidP="00D16779">
      <w:pPr>
        <w:rPr>
          <w:lang w:val="es-MX"/>
        </w:rPr>
      </w:pPr>
    </w:p>
    <w:p w:rsidR="00D16779" w:rsidRPr="008E6BE2" w:rsidRDefault="00D16779">
      <w:pPr>
        <w:pStyle w:val="reference"/>
        <w:rPr>
          <w:sz w:val="20"/>
          <w:lang w:val="es-MX"/>
        </w:rPr>
      </w:pPr>
    </w:p>
    <w:p w:rsidR="00DD5B79" w:rsidRPr="008E6BE2" w:rsidRDefault="00DD5B79">
      <w:pPr>
        <w:pStyle w:val="reference"/>
        <w:rPr>
          <w:sz w:val="20"/>
          <w:lang w:val="es-MX"/>
        </w:rPr>
        <w:sectPr w:rsidR="00DD5B79" w:rsidRPr="008E6BE2" w:rsidSect="003B1448">
          <w:type w:val="continuous"/>
          <w:pgSz w:w="12240" w:h="15840"/>
          <w:pgMar w:top="1080" w:right="806" w:bottom="1080" w:left="806" w:header="720" w:footer="720" w:gutter="0"/>
          <w:cols w:num="2" w:space="480"/>
        </w:sectPr>
      </w:pPr>
    </w:p>
    <w:p w:rsidR="00E4404C" w:rsidRPr="008E6BE2" w:rsidRDefault="00E4404C">
      <w:pPr>
        <w:rPr>
          <w:lang w:val="es-MX"/>
        </w:rPr>
      </w:pPr>
    </w:p>
    <w:sectPr w:rsidR="00E4404C" w:rsidRPr="008E6BE2" w:rsidSect="003B1448">
      <w:type w:val="continuous"/>
      <w:pgSz w:w="12240" w:h="15840"/>
      <w:pgMar w:top="1080" w:right="806" w:bottom="1080" w:left="806" w:header="720" w:footer="720" w:gutter="0"/>
      <w:cols w:num="2" w:space="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D30" w:rsidRDefault="000E4D30">
      <w:r>
        <w:separator/>
      </w:r>
    </w:p>
  </w:endnote>
  <w:endnote w:type="continuationSeparator" w:id="0">
    <w:p w:rsidR="000E4D30" w:rsidRDefault="000E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D30" w:rsidRDefault="000E4D30">
      <w:r>
        <w:separator/>
      </w:r>
    </w:p>
  </w:footnote>
  <w:footnote w:type="continuationSeparator" w:id="0">
    <w:p w:rsidR="000E4D30" w:rsidRDefault="000E4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12" w:rsidRPr="00436EBD" w:rsidRDefault="008E7CA6" w:rsidP="00436EBD">
    <w:pPr>
      <w:pStyle w:val="Header"/>
    </w:pPr>
    <w:r>
      <w:rPr>
        <w:noProof/>
      </w:rPr>
      <w:drawing>
        <wp:inline distT="0" distB="0" distL="0" distR="0" wp14:anchorId="6E9B120D" wp14:editId="694AA534">
          <wp:extent cx="2226002" cy="47897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28848" cy="4795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8562E1"/>
    <w:multiLevelType w:val="hybridMultilevel"/>
    <w:tmpl w:val="14EE6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8423D"/>
    <w:multiLevelType w:val="hybridMultilevel"/>
    <w:tmpl w:val="C64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2502E"/>
    <w:multiLevelType w:val="hybridMultilevel"/>
    <w:tmpl w:val="88187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F5555A"/>
    <w:multiLevelType w:val="multilevel"/>
    <w:tmpl w:val="E8940B2E"/>
    <w:lvl w:ilvl="0">
      <w:start w:val="1"/>
      <w:numFmt w:val="decimal"/>
      <w:lvlText w:val="%1."/>
      <w:lvlJc w:val="left"/>
      <w:pPr>
        <w:ind w:left="360" w:hanging="360"/>
      </w:pPr>
      <w:rPr>
        <w:rFonts w:hint="default"/>
        <w:b/>
        <w:i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543842CF"/>
    <w:multiLevelType w:val="singleLevel"/>
    <w:tmpl w:val="7F7E73DC"/>
    <w:lvl w:ilvl="0">
      <w:start w:val="1"/>
      <w:numFmt w:val="decimal"/>
      <w:lvlText w:val="(%1)"/>
      <w:legacy w:legacy="1" w:legacySpace="0" w:legacyIndent="360"/>
      <w:lvlJc w:val="left"/>
      <w:pPr>
        <w:ind w:left="360" w:hanging="360"/>
      </w:pPr>
    </w:lvl>
  </w:abstractNum>
  <w:abstractNum w:abstractNumId="6">
    <w:nsid w:val="56DC09D1"/>
    <w:multiLevelType w:val="hybridMultilevel"/>
    <w:tmpl w:val="829C1314"/>
    <w:lvl w:ilvl="0" w:tplc="91247D0E">
      <w:start w:val="1"/>
      <w:numFmt w:val="decimal"/>
      <w:suff w:val="space"/>
      <w:lvlText w:val="V5.%1"/>
      <w:lvlJc w:val="left"/>
      <w:pPr>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543B74"/>
    <w:multiLevelType w:val="hybridMultilevel"/>
    <w:tmpl w:val="009C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5"/>
    <w:lvlOverride w:ilvl="0">
      <w:lvl w:ilvl="0">
        <w:start w:val="1"/>
        <w:numFmt w:val="decimal"/>
        <w:lvlText w:val="(%1)"/>
        <w:legacy w:legacy="1" w:legacySpace="0" w:legacyIndent="360"/>
        <w:lvlJc w:val="left"/>
        <w:pPr>
          <w:ind w:left="360" w:hanging="360"/>
        </w:pPr>
      </w:lvl>
    </w:lvlOverride>
  </w:num>
  <w:num w:numId="4">
    <w:abstractNumId w:val="4"/>
  </w:num>
  <w:num w:numId="5">
    <w:abstractNumId w:val="7"/>
  </w:num>
  <w:num w:numId="6">
    <w:abstractNumId w:val="1"/>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removePersonalInformation/>
  <w:removeDateAndTime/>
  <w:printFractionalCharacterWidth/>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299"/>
    <w:rsid w:val="00002796"/>
    <w:rsid w:val="00025F64"/>
    <w:rsid w:val="0008748D"/>
    <w:rsid w:val="000D2742"/>
    <w:rsid w:val="000D4A2F"/>
    <w:rsid w:val="000E4D30"/>
    <w:rsid w:val="000E521B"/>
    <w:rsid w:val="001318D3"/>
    <w:rsid w:val="00196EE0"/>
    <w:rsid w:val="001B4E42"/>
    <w:rsid w:val="001E0C79"/>
    <w:rsid w:val="001F3347"/>
    <w:rsid w:val="0020666B"/>
    <w:rsid w:val="002438B3"/>
    <w:rsid w:val="0024793B"/>
    <w:rsid w:val="00284912"/>
    <w:rsid w:val="00295CAA"/>
    <w:rsid w:val="00295E35"/>
    <w:rsid w:val="002C5DD2"/>
    <w:rsid w:val="002E25AC"/>
    <w:rsid w:val="002E7169"/>
    <w:rsid w:val="00305A0D"/>
    <w:rsid w:val="00323041"/>
    <w:rsid w:val="00346CEC"/>
    <w:rsid w:val="003522F4"/>
    <w:rsid w:val="00366D7E"/>
    <w:rsid w:val="00375A8E"/>
    <w:rsid w:val="003A3997"/>
    <w:rsid w:val="003B1448"/>
    <w:rsid w:val="003C6A88"/>
    <w:rsid w:val="003E3ED0"/>
    <w:rsid w:val="003E4B33"/>
    <w:rsid w:val="00436EBD"/>
    <w:rsid w:val="00477928"/>
    <w:rsid w:val="004B28FB"/>
    <w:rsid w:val="00514621"/>
    <w:rsid w:val="005343BA"/>
    <w:rsid w:val="005B3AE4"/>
    <w:rsid w:val="0065285E"/>
    <w:rsid w:val="00686E49"/>
    <w:rsid w:val="00700997"/>
    <w:rsid w:val="0076070D"/>
    <w:rsid w:val="007A6A38"/>
    <w:rsid w:val="00807E0A"/>
    <w:rsid w:val="00861AD7"/>
    <w:rsid w:val="008931A3"/>
    <w:rsid w:val="00895D0B"/>
    <w:rsid w:val="008C5337"/>
    <w:rsid w:val="008E0B67"/>
    <w:rsid w:val="008E6BE2"/>
    <w:rsid w:val="008E7CA6"/>
    <w:rsid w:val="00917299"/>
    <w:rsid w:val="00932395"/>
    <w:rsid w:val="00984AB1"/>
    <w:rsid w:val="009C787B"/>
    <w:rsid w:val="00A0225F"/>
    <w:rsid w:val="00A22C1B"/>
    <w:rsid w:val="00A32689"/>
    <w:rsid w:val="00A402FC"/>
    <w:rsid w:val="00A57E04"/>
    <w:rsid w:val="00AF204E"/>
    <w:rsid w:val="00B22059"/>
    <w:rsid w:val="00B40B07"/>
    <w:rsid w:val="00B54112"/>
    <w:rsid w:val="00B70D6C"/>
    <w:rsid w:val="00BA09D8"/>
    <w:rsid w:val="00BB3429"/>
    <w:rsid w:val="00BB6374"/>
    <w:rsid w:val="00C046E3"/>
    <w:rsid w:val="00C14E46"/>
    <w:rsid w:val="00C6398D"/>
    <w:rsid w:val="00CC0652"/>
    <w:rsid w:val="00CC512F"/>
    <w:rsid w:val="00D13016"/>
    <w:rsid w:val="00D1390F"/>
    <w:rsid w:val="00D16779"/>
    <w:rsid w:val="00D317E3"/>
    <w:rsid w:val="00D70672"/>
    <w:rsid w:val="00D776A4"/>
    <w:rsid w:val="00D85491"/>
    <w:rsid w:val="00DB3771"/>
    <w:rsid w:val="00DD5B79"/>
    <w:rsid w:val="00E13CEE"/>
    <w:rsid w:val="00E4404C"/>
    <w:rsid w:val="00E466D6"/>
    <w:rsid w:val="00E82669"/>
    <w:rsid w:val="00EE1D99"/>
    <w:rsid w:val="00EE6FFF"/>
    <w:rsid w:val="00EF5077"/>
    <w:rsid w:val="00F344C9"/>
    <w:rsid w:val="00F41845"/>
    <w:rsid w:val="00F43E4B"/>
    <w:rsid w:val="00F475AB"/>
    <w:rsid w:val="00FB17BA"/>
    <w:rsid w:val="00FD4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jc w:val="both"/>
    </w:pPr>
    <w:rPr>
      <w:rFonts w:ascii="Times New Roman" w:hAnsi="Times New Roman"/>
      <w:lang w:eastAsia="en-US"/>
    </w:rPr>
  </w:style>
  <w:style w:type="paragraph" w:styleId="Heading1">
    <w:name w:val="heading 1"/>
    <w:next w:val="Normal"/>
    <w:link w:val="Heading1Char"/>
    <w:uiPriority w:val="9"/>
    <w:qFormat/>
    <w:pPr>
      <w:keepNext/>
      <w:spacing w:before="120" w:after="60"/>
      <w:outlineLvl w:val="0"/>
    </w:pPr>
    <w:rPr>
      <w:rFonts w:ascii="Times New Roman" w:hAnsi="Times New Roman"/>
      <w:b/>
      <w:sz w:val="24"/>
      <w:lang w:eastAsia="en-US"/>
    </w:rPr>
  </w:style>
  <w:style w:type="paragraph" w:styleId="Heading2">
    <w:name w:val="heading 2"/>
    <w:next w:val="Normal"/>
    <w:qFormat/>
    <w:pPr>
      <w:keepNext/>
      <w:spacing w:before="60" w:after="60"/>
      <w:outlineLvl w:val="1"/>
    </w:pPr>
    <w:rPr>
      <w:rFonts w:ascii="Times New Roman" w:hAnsi="Times New Roman"/>
      <w:b/>
      <w:sz w:val="22"/>
      <w:lang w:eastAsia="en-US"/>
    </w:rPr>
  </w:style>
  <w:style w:type="paragraph" w:styleId="Heading3">
    <w:name w:val="heading 3"/>
    <w:basedOn w:val="Heading2"/>
    <w:next w:val="Normal"/>
    <w:qFormat/>
    <w:pPr>
      <w:spacing w:after="0"/>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pPr>
      <w:pBdr>
        <w:top w:val="single" w:sz="6" w:space="1" w:color="auto"/>
      </w:pBdr>
      <w:tabs>
        <w:tab w:val="center" w:pos="4680"/>
        <w:tab w:val="right" w:pos="9792"/>
      </w:tabs>
    </w:pPr>
    <w:rPr>
      <w:rFonts w:ascii="Helvetica" w:hAnsi="Helvetica"/>
      <w:b/>
      <w:lang w:eastAsia="en-US"/>
    </w:rPr>
  </w:style>
  <w:style w:type="paragraph" w:styleId="Header">
    <w:name w:val="header"/>
    <w:basedOn w:val="Normal"/>
    <w:pPr>
      <w:tabs>
        <w:tab w:val="center" w:pos="4320"/>
        <w:tab w:val="right" w:pos="8640"/>
      </w:tabs>
    </w:pPr>
    <w:rPr>
      <w:rFonts w:ascii="Arial" w:hAnsi="Arial"/>
    </w:rPr>
  </w:style>
  <w:style w:type="paragraph" w:styleId="NormalIndent">
    <w:name w:val="Normal Indent"/>
    <w:basedOn w:val="Normal"/>
    <w:pPr>
      <w:ind w:left="720"/>
    </w:pPr>
  </w:style>
  <w:style w:type="paragraph" w:customStyle="1" w:styleId="Title1">
    <w:name w:val="Title1"/>
    <w:next w:val="author"/>
    <w:pPr>
      <w:spacing w:before="360" w:after="480"/>
      <w:jc w:val="center"/>
    </w:pPr>
    <w:rPr>
      <w:rFonts w:ascii="Times New Roman" w:hAnsi="Times New Roman"/>
      <w:sz w:val="40"/>
      <w:lang w:eastAsia="en-US"/>
    </w:rPr>
  </w:style>
  <w:style w:type="paragraph" w:customStyle="1" w:styleId="author">
    <w:name w:val="author"/>
    <w:pPr>
      <w:jc w:val="center"/>
    </w:pPr>
    <w:rPr>
      <w:rFonts w:ascii="Times New Roman" w:hAnsi="Times New Roman"/>
      <w:sz w:val="24"/>
      <w:lang w:eastAsia="en-US"/>
    </w:rPr>
  </w:style>
  <w:style w:type="paragraph" w:customStyle="1" w:styleId="abstract">
    <w:name w:val="abstract"/>
    <w:pPr>
      <w:spacing w:after="120"/>
    </w:pPr>
    <w:rPr>
      <w:rFonts w:ascii="Times New Roman" w:hAnsi="Times New Roman"/>
      <w:b/>
      <w:sz w:val="24"/>
      <w:lang w:eastAsia="en-US"/>
    </w:rPr>
  </w:style>
  <w:style w:type="paragraph" w:customStyle="1" w:styleId="reference">
    <w:name w:val="reference"/>
    <w:pPr>
      <w:tabs>
        <w:tab w:val="left" w:pos="288"/>
      </w:tabs>
      <w:spacing w:after="120"/>
      <w:ind w:left="288" w:hanging="288"/>
    </w:pPr>
    <w:rPr>
      <w:rFonts w:ascii="Times New Roman" w:hAnsi="Times New Roman"/>
      <w:sz w:val="18"/>
      <w:lang w:eastAsia="en-US"/>
    </w:rPr>
  </w:style>
  <w:style w:type="paragraph" w:customStyle="1" w:styleId="TableCaption">
    <w:name w:val="TableCaption"/>
    <w:basedOn w:val="FigureCaption"/>
  </w:style>
  <w:style w:type="paragraph" w:customStyle="1" w:styleId="FigureCaption">
    <w:name w:val="FigureCaption"/>
    <w:basedOn w:val="Normal"/>
    <w:pPr>
      <w:jc w:val="center"/>
    </w:pPr>
    <w:rPr>
      <w:rFonts w:ascii="Times" w:hAnsi="Times"/>
    </w:rPr>
  </w:style>
  <w:style w:type="paragraph" w:styleId="FootnoteText">
    <w:name w:val="footnote text"/>
    <w:basedOn w:val="Normal"/>
    <w:semiHidden/>
  </w:style>
  <w:style w:type="paragraph" w:customStyle="1" w:styleId="small">
    <w:name w:val="small"/>
    <w:basedOn w:val="Normal"/>
    <w:next w:val="Normal"/>
    <w:pPr>
      <w:spacing w:after="0"/>
    </w:pPr>
    <w:rPr>
      <w:sz w:val="6"/>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customStyle="1" w:styleId="Heading1Char">
    <w:name w:val="Heading 1 Char"/>
    <w:basedOn w:val="DefaultParagraphFont"/>
    <w:link w:val="Heading1"/>
    <w:uiPriority w:val="9"/>
    <w:rsid w:val="001318D3"/>
    <w:rPr>
      <w:b/>
      <w:sz w:val="24"/>
      <w:lang w:val="en-US" w:eastAsia="en-US" w:bidi="ar-SA"/>
    </w:rPr>
  </w:style>
  <w:style w:type="paragraph" w:styleId="BalloonText">
    <w:name w:val="Balloon Text"/>
    <w:basedOn w:val="Normal"/>
    <w:link w:val="BalloonTextChar"/>
    <w:rsid w:val="001E0C79"/>
    <w:pPr>
      <w:spacing w:after="0"/>
    </w:pPr>
    <w:rPr>
      <w:rFonts w:ascii="Tahoma" w:hAnsi="Tahoma" w:cs="Tahoma"/>
      <w:sz w:val="16"/>
      <w:szCs w:val="16"/>
    </w:rPr>
  </w:style>
  <w:style w:type="character" w:customStyle="1" w:styleId="BalloonTextChar">
    <w:name w:val="Balloon Text Char"/>
    <w:basedOn w:val="DefaultParagraphFont"/>
    <w:link w:val="BalloonText"/>
    <w:rsid w:val="001E0C79"/>
    <w:rPr>
      <w:rFonts w:ascii="Tahoma" w:hAnsi="Tahoma" w:cs="Tahoma"/>
      <w:sz w:val="16"/>
      <w:szCs w:val="16"/>
      <w:lang w:eastAsia="en-US"/>
    </w:rPr>
  </w:style>
  <w:style w:type="paragraph" w:styleId="Caption">
    <w:name w:val="caption"/>
    <w:basedOn w:val="Normal"/>
    <w:next w:val="Normal"/>
    <w:qFormat/>
    <w:rsid w:val="008C5337"/>
    <w:pPr>
      <w:spacing w:after="80"/>
      <w:jc w:val="center"/>
    </w:pPr>
    <w:rPr>
      <w:rFonts w:cs="Miriam"/>
      <w:b/>
      <w:bCs/>
      <w:sz w:val="18"/>
      <w:szCs w:val="18"/>
      <w:lang w:eastAsia="en-AU"/>
    </w:rPr>
  </w:style>
  <w:style w:type="paragraph" w:styleId="ListParagraph">
    <w:name w:val="List Paragraph"/>
    <w:basedOn w:val="Normal"/>
    <w:uiPriority w:val="34"/>
    <w:qFormat/>
    <w:rsid w:val="000D4A2F"/>
    <w:pPr>
      <w:ind w:left="720"/>
      <w:contextualSpacing/>
    </w:pPr>
  </w:style>
  <w:style w:type="paragraph" w:styleId="BodyTextIndent">
    <w:name w:val="Body Text Indent"/>
    <w:basedOn w:val="Normal"/>
    <w:link w:val="BodyTextIndentChar"/>
    <w:rsid w:val="007A6A38"/>
    <w:pPr>
      <w:spacing w:after="0"/>
      <w:ind w:firstLine="360"/>
    </w:pPr>
    <w:rPr>
      <w:sz w:val="18"/>
    </w:rPr>
  </w:style>
  <w:style w:type="character" w:customStyle="1" w:styleId="BodyTextIndentChar">
    <w:name w:val="Body Text Indent Char"/>
    <w:basedOn w:val="DefaultParagraphFont"/>
    <w:link w:val="BodyTextIndent"/>
    <w:rsid w:val="007A6A38"/>
    <w:rPr>
      <w:rFonts w:ascii="Times New Roman" w:hAnsi="Times New Roman"/>
      <w:sz w:val="18"/>
      <w:lang w:eastAsia="en-US"/>
    </w:rPr>
  </w:style>
  <w:style w:type="paragraph" w:customStyle="1" w:styleId="Paper-Title">
    <w:name w:val="Paper-Title"/>
    <w:basedOn w:val="Normal"/>
    <w:rsid w:val="00E4404C"/>
    <w:pPr>
      <w:jc w:val="center"/>
    </w:pPr>
    <w:rPr>
      <w:rFonts w:ascii="Helvetica" w:hAnsi="Helvetica"/>
      <w:b/>
      <w:sz w:val="36"/>
    </w:rPr>
  </w:style>
  <w:style w:type="paragraph" w:customStyle="1" w:styleId="ASVSBodyStyle">
    <w:name w:val="ASVS Body Style"/>
    <w:basedOn w:val="Normal"/>
    <w:link w:val="ASVSBodyStyleChar"/>
    <w:rsid w:val="00B70D6C"/>
    <w:pPr>
      <w:jc w:val="left"/>
    </w:pPr>
    <w:rPr>
      <w:rFonts w:ascii="Trebuchet MS" w:hAnsi="Trebuchet MS"/>
      <w:color w:val="0B4D76"/>
      <w:sz w:val="19"/>
      <w:szCs w:val="24"/>
    </w:rPr>
  </w:style>
  <w:style w:type="character" w:customStyle="1" w:styleId="ASVSBodyStyleChar">
    <w:name w:val="ASVS Body Style Char"/>
    <w:basedOn w:val="DefaultParagraphFont"/>
    <w:link w:val="ASVSBodyStyle"/>
    <w:rsid w:val="00B70D6C"/>
    <w:rPr>
      <w:rFonts w:ascii="Trebuchet MS" w:hAnsi="Trebuchet MS"/>
      <w:color w:val="0B4D76"/>
      <w:sz w:val="19"/>
      <w:szCs w:val="24"/>
      <w:lang w:eastAsia="en-US"/>
    </w:rPr>
  </w:style>
  <w:style w:type="paragraph" w:styleId="Bibliography">
    <w:name w:val="Bibliography"/>
    <w:basedOn w:val="Normal"/>
    <w:next w:val="Normal"/>
    <w:uiPriority w:val="37"/>
    <w:unhideWhenUsed/>
    <w:rsid w:val="00F344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jc w:val="both"/>
    </w:pPr>
    <w:rPr>
      <w:rFonts w:ascii="Times New Roman" w:hAnsi="Times New Roman"/>
      <w:lang w:eastAsia="en-US"/>
    </w:rPr>
  </w:style>
  <w:style w:type="paragraph" w:styleId="Heading1">
    <w:name w:val="heading 1"/>
    <w:next w:val="Normal"/>
    <w:link w:val="Heading1Char"/>
    <w:uiPriority w:val="9"/>
    <w:qFormat/>
    <w:pPr>
      <w:keepNext/>
      <w:spacing w:before="120" w:after="60"/>
      <w:outlineLvl w:val="0"/>
    </w:pPr>
    <w:rPr>
      <w:rFonts w:ascii="Times New Roman" w:hAnsi="Times New Roman"/>
      <w:b/>
      <w:sz w:val="24"/>
      <w:lang w:eastAsia="en-US"/>
    </w:rPr>
  </w:style>
  <w:style w:type="paragraph" w:styleId="Heading2">
    <w:name w:val="heading 2"/>
    <w:next w:val="Normal"/>
    <w:qFormat/>
    <w:pPr>
      <w:keepNext/>
      <w:spacing w:before="60" w:after="60"/>
      <w:outlineLvl w:val="1"/>
    </w:pPr>
    <w:rPr>
      <w:rFonts w:ascii="Times New Roman" w:hAnsi="Times New Roman"/>
      <w:b/>
      <w:sz w:val="22"/>
      <w:lang w:eastAsia="en-US"/>
    </w:rPr>
  </w:style>
  <w:style w:type="paragraph" w:styleId="Heading3">
    <w:name w:val="heading 3"/>
    <w:basedOn w:val="Heading2"/>
    <w:next w:val="Normal"/>
    <w:qFormat/>
    <w:pPr>
      <w:spacing w:after="0"/>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pPr>
      <w:pBdr>
        <w:top w:val="single" w:sz="6" w:space="1" w:color="auto"/>
      </w:pBdr>
      <w:tabs>
        <w:tab w:val="center" w:pos="4680"/>
        <w:tab w:val="right" w:pos="9792"/>
      </w:tabs>
    </w:pPr>
    <w:rPr>
      <w:rFonts w:ascii="Helvetica" w:hAnsi="Helvetica"/>
      <w:b/>
      <w:lang w:eastAsia="en-US"/>
    </w:rPr>
  </w:style>
  <w:style w:type="paragraph" w:styleId="Header">
    <w:name w:val="header"/>
    <w:basedOn w:val="Normal"/>
    <w:pPr>
      <w:tabs>
        <w:tab w:val="center" w:pos="4320"/>
        <w:tab w:val="right" w:pos="8640"/>
      </w:tabs>
    </w:pPr>
    <w:rPr>
      <w:rFonts w:ascii="Arial" w:hAnsi="Arial"/>
    </w:rPr>
  </w:style>
  <w:style w:type="paragraph" w:styleId="NormalIndent">
    <w:name w:val="Normal Indent"/>
    <w:basedOn w:val="Normal"/>
    <w:pPr>
      <w:ind w:left="720"/>
    </w:pPr>
  </w:style>
  <w:style w:type="paragraph" w:customStyle="1" w:styleId="Title1">
    <w:name w:val="Title1"/>
    <w:next w:val="author"/>
    <w:pPr>
      <w:spacing w:before="360" w:after="480"/>
      <w:jc w:val="center"/>
    </w:pPr>
    <w:rPr>
      <w:rFonts w:ascii="Times New Roman" w:hAnsi="Times New Roman"/>
      <w:sz w:val="40"/>
      <w:lang w:eastAsia="en-US"/>
    </w:rPr>
  </w:style>
  <w:style w:type="paragraph" w:customStyle="1" w:styleId="author">
    <w:name w:val="author"/>
    <w:pPr>
      <w:jc w:val="center"/>
    </w:pPr>
    <w:rPr>
      <w:rFonts w:ascii="Times New Roman" w:hAnsi="Times New Roman"/>
      <w:sz w:val="24"/>
      <w:lang w:eastAsia="en-US"/>
    </w:rPr>
  </w:style>
  <w:style w:type="paragraph" w:customStyle="1" w:styleId="abstract">
    <w:name w:val="abstract"/>
    <w:pPr>
      <w:spacing w:after="120"/>
    </w:pPr>
    <w:rPr>
      <w:rFonts w:ascii="Times New Roman" w:hAnsi="Times New Roman"/>
      <w:b/>
      <w:sz w:val="24"/>
      <w:lang w:eastAsia="en-US"/>
    </w:rPr>
  </w:style>
  <w:style w:type="paragraph" w:customStyle="1" w:styleId="reference">
    <w:name w:val="reference"/>
    <w:pPr>
      <w:tabs>
        <w:tab w:val="left" w:pos="288"/>
      </w:tabs>
      <w:spacing w:after="120"/>
      <w:ind w:left="288" w:hanging="288"/>
    </w:pPr>
    <w:rPr>
      <w:rFonts w:ascii="Times New Roman" w:hAnsi="Times New Roman"/>
      <w:sz w:val="18"/>
      <w:lang w:eastAsia="en-US"/>
    </w:rPr>
  </w:style>
  <w:style w:type="paragraph" w:customStyle="1" w:styleId="TableCaption">
    <w:name w:val="TableCaption"/>
    <w:basedOn w:val="FigureCaption"/>
  </w:style>
  <w:style w:type="paragraph" w:customStyle="1" w:styleId="FigureCaption">
    <w:name w:val="FigureCaption"/>
    <w:basedOn w:val="Normal"/>
    <w:pPr>
      <w:jc w:val="center"/>
    </w:pPr>
    <w:rPr>
      <w:rFonts w:ascii="Times" w:hAnsi="Times"/>
    </w:rPr>
  </w:style>
  <w:style w:type="paragraph" w:styleId="FootnoteText">
    <w:name w:val="footnote text"/>
    <w:basedOn w:val="Normal"/>
    <w:semiHidden/>
  </w:style>
  <w:style w:type="paragraph" w:customStyle="1" w:styleId="small">
    <w:name w:val="small"/>
    <w:basedOn w:val="Normal"/>
    <w:next w:val="Normal"/>
    <w:pPr>
      <w:spacing w:after="0"/>
    </w:pPr>
    <w:rPr>
      <w:sz w:val="6"/>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customStyle="1" w:styleId="Heading1Char">
    <w:name w:val="Heading 1 Char"/>
    <w:basedOn w:val="DefaultParagraphFont"/>
    <w:link w:val="Heading1"/>
    <w:uiPriority w:val="9"/>
    <w:rsid w:val="001318D3"/>
    <w:rPr>
      <w:b/>
      <w:sz w:val="24"/>
      <w:lang w:val="en-US" w:eastAsia="en-US" w:bidi="ar-SA"/>
    </w:rPr>
  </w:style>
  <w:style w:type="paragraph" w:styleId="BalloonText">
    <w:name w:val="Balloon Text"/>
    <w:basedOn w:val="Normal"/>
    <w:link w:val="BalloonTextChar"/>
    <w:rsid w:val="001E0C79"/>
    <w:pPr>
      <w:spacing w:after="0"/>
    </w:pPr>
    <w:rPr>
      <w:rFonts w:ascii="Tahoma" w:hAnsi="Tahoma" w:cs="Tahoma"/>
      <w:sz w:val="16"/>
      <w:szCs w:val="16"/>
    </w:rPr>
  </w:style>
  <w:style w:type="character" w:customStyle="1" w:styleId="BalloonTextChar">
    <w:name w:val="Balloon Text Char"/>
    <w:basedOn w:val="DefaultParagraphFont"/>
    <w:link w:val="BalloonText"/>
    <w:rsid w:val="001E0C79"/>
    <w:rPr>
      <w:rFonts w:ascii="Tahoma" w:hAnsi="Tahoma" w:cs="Tahoma"/>
      <w:sz w:val="16"/>
      <w:szCs w:val="16"/>
      <w:lang w:eastAsia="en-US"/>
    </w:rPr>
  </w:style>
  <w:style w:type="paragraph" w:styleId="Caption">
    <w:name w:val="caption"/>
    <w:basedOn w:val="Normal"/>
    <w:next w:val="Normal"/>
    <w:qFormat/>
    <w:rsid w:val="008C5337"/>
    <w:pPr>
      <w:spacing w:after="80"/>
      <w:jc w:val="center"/>
    </w:pPr>
    <w:rPr>
      <w:rFonts w:cs="Miriam"/>
      <w:b/>
      <w:bCs/>
      <w:sz w:val="18"/>
      <w:szCs w:val="18"/>
      <w:lang w:eastAsia="en-AU"/>
    </w:rPr>
  </w:style>
  <w:style w:type="paragraph" w:styleId="ListParagraph">
    <w:name w:val="List Paragraph"/>
    <w:basedOn w:val="Normal"/>
    <w:uiPriority w:val="34"/>
    <w:qFormat/>
    <w:rsid w:val="000D4A2F"/>
    <w:pPr>
      <w:ind w:left="720"/>
      <w:contextualSpacing/>
    </w:pPr>
  </w:style>
  <w:style w:type="paragraph" w:styleId="BodyTextIndent">
    <w:name w:val="Body Text Indent"/>
    <w:basedOn w:val="Normal"/>
    <w:link w:val="BodyTextIndentChar"/>
    <w:rsid w:val="007A6A38"/>
    <w:pPr>
      <w:spacing w:after="0"/>
      <w:ind w:firstLine="360"/>
    </w:pPr>
    <w:rPr>
      <w:sz w:val="18"/>
    </w:rPr>
  </w:style>
  <w:style w:type="character" w:customStyle="1" w:styleId="BodyTextIndentChar">
    <w:name w:val="Body Text Indent Char"/>
    <w:basedOn w:val="DefaultParagraphFont"/>
    <w:link w:val="BodyTextIndent"/>
    <w:rsid w:val="007A6A38"/>
    <w:rPr>
      <w:rFonts w:ascii="Times New Roman" w:hAnsi="Times New Roman"/>
      <w:sz w:val="18"/>
      <w:lang w:eastAsia="en-US"/>
    </w:rPr>
  </w:style>
  <w:style w:type="paragraph" w:customStyle="1" w:styleId="Paper-Title">
    <w:name w:val="Paper-Title"/>
    <w:basedOn w:val="Normal"/>
    <w:rsid w:val="00E4404C"/>
    <w:pPr>
      <w:jc w:val="center"/>
    </w:pPr>
    <w:rPr>
      <w:rFonts w:ascii="Helvetica" w:hAnsi="Helvetica"/>
      <w:b/>
      <w:sz w:val="36"/>
    </w:rPr>
  </w:style>
  <w:style w:type="paragraph" w:customStyle="1" w:styleId="ASVSBodyStyle">
    <w:name w:val="ASVS Body Style"/>
    <w:basedOn w:val="Normal"/>
    <w:link w:val="ASVSBodyStyleChar"/>
    <w:rsid w:val="00B70D6C"/>
    <w:pPr>
      <w:jc w:val="left"/>
    </w:pPr>
    <w:rPr>
      <w:rFonts w:ascii="Trebuchet MS" w:hAnsi="Trebuchet MS"/>
      <w:color w:val="0B4D76"/>
      <w:sz w:val="19"/>
      <w:szCs w:val="24"/>
    </w:rPr>
  </w:style>
  <w:style w:type="character" w:customStyle="1" w:styleId="ASVSBodyStyleChar">
    <w:name w:val="ASVS Body Style Char"/>
    <w:basedOn w:val="DefaultParagraphFont"/>
    <w:link w:val="ASVSBodyStyle"/>
    <w:rsid w:val="00B70D6C"/>
    <w:rPr>
      <w:rFonts w:ascii="Trebuchet MS" w:hAnsi="Trebuchet MS"/>
      <w:color w:val="0B4D76"/>
      <w:sz w:val="19"/>
      <w:szCs w:val="24"/>
      <w:lang w:eastAsia="en-US"/>
    </w:rPr>
  </w:style>
  <w:style w:type="paragraph" w:styleId="Bibliography">
    <w:name w:val="Bibliography"/>
    <w:basedOn w:val="Normal"/>
    <w:next w:val="Normal"/>
    <w:uiPriority w:val="37"/>
    <w:unhideWhenUsed/>
    <w:rsid w:val="00F34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Sch12</b:Tag>
    <b:SourceType>Report</b:SourceType>
    <b:Guid>{8047DAF7-B0BB-4AE6-81DC-4C80BF659CB9}</b:Guid>
    <b:Title>Have things changed now? An Empirical Study on Input Validation Vulnerabilities in Web Applications</b:Title>
    <b:Year>2012</b:Year>
    <b:LCID>es-MX</b:LCID>
    <b:Author>
      <b:Author>
        <b:NameList>
          <b:Person>
            <b:Last>Scholt</b:Last>
            <b:First>Theodoor</b:First>
          </b:Person>
          <b:Person>
            <b:Last>Balzarotti</b:Last>
            <b:First>Davide</b:First>
          </b:Person>
          <b:Person>
            <b:Last>Kirda</b:Last>
            <b:First>Engin</b:First>
          </b:Person>
        </b:NameList>
      </b:Author>
    </b:Author>
    <b:RefOrder>1</b:RefOrder>
  </b:Source>
  <b:Source>
    <b:Tag>Dia10</b:Tag>
    <b:SourceType>JournalArticle</b:SourceType>
    <b:Guid>{50F28DD6-C268-49C8-9A1A-AD524F2988FE}</b:Guid>
    <b:Title>DECRETO por el que se expide la Ley Federal de Protección de Datos Personales en Posesión de los Particulares</b:Title>
    <b:Year>2010</b:Year>
    <b:LCID>es-MX</b:LCID>
    <b:Author>
      <b:Author>
        <b:Corporate>Diario Oficial de la Federación</b:Corporate>
      </b:Author>
    </b:Author>
    <b:JournalName>Diario Oficial de la Federación</b:JournalName>
    <b:Pages>11-12</b:Pages>
    <b:RefOrder>2</b:RefOrder>
  </b:Source>
  <b:Source>
    <b:Tag>Tat13</b:Tag>
    <b:SourceType>InternetSite</b:SourceType>
    <b:Guid>{8CC77FB0-21A8-4E23-9B6A-2A8F3D1C78FC}</b:Guid>
    <b:Title>What Is a Cyberattack?</b:Title>
    <b:Year>2013</b:Year>
    <b:InternetSiteTitle>Wise Geek</b:InternetSiteTitle>
    <b:Month>Enero</b:Month>
    <b:YearAccessed>2013</b:YearAccessed>
    <b:MonthAccessed>Marzo</b:MonthAccessed>
    <b:URL>http://www.wisegeek.com/what-is-a-cyberattack.htm</b:URL>
    <b:Author>
      <b:Author>
        <b:NameList>
          <b:Person>
            <b:Last>Tatum</b:Last>
            <b:First>Malcolm</b:First>
          </b:Person>
        </b:NameList>
      </b:Author>
    </b:Author>
    <b:LCID>es-MX</b:LCID>
    <b:RefOrder>13</b:RefOrder>
  </b:Source>
  <b:Source>
    <b:Tag>Har08</b:Tag>
    <b:SourceType>Book</b:SourceType>
    <b:Guid>{B6712CBC-D76E-4601-85AE-DEEBDFCDF1C0}</b:Guid>
    <b:Title>All in One CISSP Exam Guide</b:Title>
    <b:Year>2008</b:Year>
    <b:Publisher>McGraw-Hill</b:Publisher>
    <b:Author>
      <b:Author>
        <b:NameList>
          <b:Person>
            <b:Last>Harris</b:Last>
            <b:First>Shon</b:First>
          </b:Person>
        </b:NameList>
      </b:Author>
    </b:Author>
    <b:LCID>es-MX</b:LCID>
    <b:RefOrder>14</b:RefOrder>
  </b:Source>
  <b:Source>
    <b:Tag>Pon12</b:Tag>
    <b:SourceType>Report</b:SourceType>
    <b:Guid>{42AB8630-4E58-479F-A6E4-6FE5F2887DEA}</b:Guid>
    <b:Title>2012 Cost of Cyber Crime Study:</b:Title>
    <b:Year>2012</b:Year>
    <b:Publisher>Ponemon Institute LLC</b:Publisher>
    <b:LCID>es-MX</b:LCID>
    <b:Author>
      <b:Author>
        <b:Corporate>Ponemon Institute</b:Corporate>
      </b:Author>
    </b:Author>
    <b:RefOrder>3</b:RefOrder>
  </b:Source>
  <b:Source>
    <b:Tag>HP212</b:Tag>
    <b:SourceType>Report</b:SourceType>
    <b:Guid>{89FA9F69-BA59-4917-B4B1-B59B610FE62A}</b:Guid>
    <b:Author>
      <b:Author>
        <b:Corporate>Hewlett-Packard</b:Corporate>
      </b:Author>
    </b:Author>
    <b:Title>HP 2012 Cyber Risk Report</b:Title>
    <b:Year>2012</b:Year>
    <b:RefOrder>4</b:RefOrder>
  </b:Source>
  <b:Source>
    <b:Tag>The12</b:Tag>
    <b:SourceType>InternetSite</b:SourceType>
    <b:Guid>{8C7A9BD3-7A9B-4A05-AC0E-C7D0D765C519}</b:Guid>
    <b:Title>The Open Source Vulnerability Database</b:Title>
    <b:Year>2012</b:Year>
    <b:LCID>es-MX</b:LCID>
    <b:Author>
      <b:Author>
        <b:Corporate>The Open Source Vulnerability Database</b:Corporate>
      </b:Author>
    </b:Author>
    <b:InternetSiteTitle>The Open Source Vulnerability Database</b:InternetSiteTitle>
    <b:YearAccessed>2013</b:YearAccessed>
    <b:MonthAccessed>Marzo 2013</b:MonthAccessed>
    <b:URL>http://www.osvdb.org</b:URL>
    <b:RefOrder>5</b:RefOrder>
  </b:Source>
  <b:Source>
    <b:Tag>OWA13</b:Tag>
    <b:SourceType>Book</b:SourceType>
    <b:Guid>{1D5B8896-FF4F-4C92-8CD1-3CDDAE07C6BD}</b:Guid>
    <b:Title>OWASP Top Ten - 2013</b:Title>
    <b:Year>2013</b:Year>
    <b:LCID>es-MX</b:LCID>
    <b:Author>
      <b:Author>
        <b:NameList>
          <b:Person>
            <b:Last>Williams</b:Last>
            <b:First>Jeff</b:First>
          </b:Person>
          <b:Person>
            <b:Last>Wichers</b:Last>
            <b:First>Dave</b:First>
          </b:Person>
        </b:NameList>
      </b:Author>
    </b:Author>
    <b:Publisher>Creative Commons (CC) Attribution Share-Alike</b:Publisher>
    <b:RefOrder>6</b:RefOrder>
  </b:Source>
  <b:Source>
    <b:Tag>Rai98</b:Tag>
    <b:SourceType>DocumentFromInternetSite</b:SourceType>
    <b:Guid>{23C24C55-6EB4-4E27-9AF3-339FBA9E16BC}</b:Guid>
    <b:Title>Phrack</b:Title>
    <b:Year>1998</b:Year>
    <b:InternetSiteTitle>NT Web Technology Vulnerabilities</b:InternetSiteTitle>
    <b:Month>Diciembre</b:Month>
    <b:Day>24</b:Day>
    <b:YearAccessed>2013</b:YearAccessed>
    <b:MonthAccessed>Abril</b:MonthAccessed>
    <b:URL>http://www.phrack.com/issues.html?issue=54&amp;id=8#article</b:URL>
    <b:LCID>es-MX</b:LCID>
    <b:Author>
      <b:Author>
        <b:NameList>
          <b:Person>
            <b:Last>Puppy</b:Last>
            <b:First>Rain</b:First>
            <b:Middle>Forest</b:Middle>
          </b:Person>
        </b:NameList>
      </b:Author>
    </b:Author>
    <b:RefOrder>7</b:RefOrder>
  </b:Source>
  <b:Source>
    <b:Tag>Cla12</b:Tag>
    <b:SourceType>Book</b:SourceType>
    <b:Guid>{BF4C7CED-E1FF-40E8-A469-89A6DB44BB5B}</b:Guid>
    <b:Title>SQL Injection Attacks and Defense, 2nd Edition</b:Title>
    <b:Year>2012</b:Year>
    <b:LCID>es-MX</b:LCID>
    <b:Publisher>Syngress</b:Publisher>
    <b:Author>
      <b:Author>
        <b:NameList>
          <b:Person>
            <b:Last>Clarke</b:Last>
            <b:First>Justin</b:First>
          </b:Person>
        </b:NameList>
      </b:Author>
    </b:Author>
    <b:RefOrder>8</b:RefOrder>
  </b:Source>
  <b:Source>
    <b:Tag>van05</b:Tag>
    <b:SourceType>Book</b:SourceType>
    <b:Guid>{553296F9-6E57-4B2F-9632-CE97B5AD0C59}</b:Guid>
    <b:Title>Una Guía para Construir Aplicaciones y Servicios Web Seguros</b:Title>
    <b:Year>2005</b:Year>
    <b:Publisher>Free Software Foundation</b:Publisher>
    <b:Author>
      <b:Author>
        <b:NameList>
          <b:Person>
            <b:Last>van der Stock</b:Last>
            <b:First>Andrew</b:First>
          </b:Person>
        </b:NameList>
      </b:Author>
    </b:Author>
    <b:RefOrder>9</b:RefOrder>
  </b:Source>
  <b:Source>
    <b:Tag>Her91</b:Tag>
    <b:SourceType>Book</b:SourceType>
    <b:Guid>{C57F9200-23DD-4D8C-99BC-6AB05F03FA26}</b:Guid>
    <b:Author>
      <b:Author>
        <b:NameList>
          <b:Person>
            <b:Last>Hernández Sampieri</b:Last>
            <b:First>Roberto</b:First>
          </b:Person>
          <b:Person>
            <b:Last>Fernández Collado</b:Last>
            <b:First>Carlos</b:First>
          </b:Person>
          <b:Person>
            <b:Last>Baptista Lucio</b:Last>
            <b:First>Pilar</b:First>
          </b:Person>
        </b:NameList>
      </b:Author>
    </b:Author>
    <b:Title>Metodología de la investigación</b:Title>
    <b:Year>1991</b:Year>
    <b:City>Naucalpan de Juárez, Edo. de México</b:City>
    <b:Publisher>McGRAW - HILL INTERAMERICANA DE MÉXICO, S.A. de C.V.</b:Publisher>
    <b:LCID>es-MX</b:LCID>
    <b:RefOrder>10</b:RefOrder>
  </b:Source>
  <b:Source>
    <b:Tag>Bob09</b:Tag>
    <b:SourceType>Book</b:SourceType>
    <b:Guid>{CC9A1EDA-34ED-44C8-89F0-77B605291021}</b:Guid>
    <b:Title>OWASP Application Security Verification Standard (ASVS)</b:Title>
    <b:Year>2009</b:Year>
    <b:Author>
      <b:Author>
        <b:Corporate>OWASP</b:Corporate>
        <b:NameList>
          <b:Person>
            <b:Last>Boberski</b:Last>
            <b:First>Mike</b:First>
          </b:Person>
          <b:Person>
            <b:Last>Williams</b:Last>
            <b:First>Jeff</b:First>
          </b:Person>
          <b:Person>
            <b:Last>Wichers</b:Last>
            <b:First>Dave</b:First>
          </b:Person>
        </b:NameList>
      </b:Author>
    </b:Author>
    <b:Publisher>Creative Commons (CC) Attribution Share-Alike</b:Publisher>
    <b:LCID>es-MX</b:LCID>
    <b:RefOrder>11</b:RefOrder>
  </b:Source>
  <b:Source>
    <b:Tag>Cha12</b:Tag>
    <b:SourceType>Book</b:SourceType>
    <b:Guid>{6A4F9DD5-0471-4DB7-9E8D-AA1587A78DD5}</b:Guid>
    <b:Title>OWASP Software Assurance Maturity Model</b:Title>
    <b:Year>2012</b:Year>
    <b:Publisher>Creative Commons (CC) Attribution-Share Alike</b:Publisher>
    <b:Author>
      <b:Author>
        <b:NameList>
          <b:Person>
            <b:Last>Chandra</b:Last>
            <b:First>Pravir</b:First>
          </b:Person>
          <b:Person>
            <b:Last>Deleersnyder</b:Last>
            <b:First>Seba</b:First>
          </b:Person>
        </b:NameList>
      </b:Author>
    </b:Author>
    <b:LCID>es-MX</b:LCID>
    <b:RefOrder>12</b:RefOrder>
  </b:Source>
</b:Sources>
</file>

<file path=customXml/itemProps1.xml><?xml version="1.0" encoding="utf-8"?>
<ds:datastoreItem xmlns:ds="http://schemas.openxmlformats.org/officeDocument/2006/customXml" ds:itemID="{23FE923B-617A-44D5-B7E6-791D9F1E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2013-04-29T00:33:00Z</dcterms:created>
  <dcterms:modified xsi:type="dcterms:W3CDTF">2013-04-29T01:08:00Z</dcterms:modified>
</cp:coreProperties>
</file>